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0D" w:rsidRDefault="0029740D" w:rsidP="00285112">
      <w:pPr>
        <w:spacing w:after="120"/>
        <w:jc w:val="both"/>
        <w:rPr>
          <w:b/>
          <w:color w:val="000000"/>
          <w:sz w:val="22"/>
          <w:szCs w:val="22"/>
        </w:rPr>
      </w:pPr>
      <w:r w:rsidRPr="00D46A6D">
        <w:rPr>
          <w:b/>
          <w:color w:val="000000"/>
          <w:sz w:val="22"/>
          <w:szCs w:val="22"/>
        </w:rPr>
        <w:t>Příloha 3</w:t>
      </w:r>
    </w:p>
    <w:p w:rsidR="00D46A6D" w:rsidRPr="00D46A6D" w:rsidRDefault="00D46A6D" w:rsidP="00285112">
      <w:pPr>
        <w:spacing w:after="120"/>
        <w:jc w:val="both"/>
        <w:rPr>
          <w:b/>
          <w:color w:val="000000"/>
          <w:sz w:val="22"/>
          <w:szCs w:val="22"/>
        </w:rPr>
      </w:pPr>
    </w:p>
    <w:p w:rsidR="0029740D" w:rsidRPr="0029740D" w:rsidRDefault="0029740D" w:rsidP="0029740D">
      <w:pPr>
        <w:rPr>
          <w:b/>
          <w:sz w:val="20"/>
        </w:rPr>
      </w:pPr>
      <w:r w:rsidRPr="0029740D">
        <w:rPr>
          <w:b/>
          <w:sz w:val="20"/>
        </w:rPr>
        <w:t xml:space="preserve">SČS‘ </w:t>
      </w:r>
      <w:proofErr w:type="spellStart"/>
      <w:r w:rsidRPr="0029740D">
        <w:rPr>
          <w:b/>
          <w:sz w:val="20"/>
        </w:rPr>
        <w:t>Priorities</w:t>
      </w:r>
      <w:proofErr w:type="spellEnd"/>
      <w:r w:rsidRPr="0029740D">
        <w:rPr>
          <w:b/>
          <w:sz w:val="20"/>
        </w:rPr>
        <w:t xml:space="preserve"> </w:t>
      </w:r>
      <w:proofErr w:type="spellStart"/>
      <w:r w:rsidRPr="0029740D">
        <w:rPr>
          <w:b/>
          <w:sz w:val="20"/>
        </w:rPr>
        <w:t>of</w:t>
      </w:r>
      <w:proofErr w:type="spellEnd"/>
      <w:r w:rsidRPr="0029740D">
        <w:rPr>
          <w:b/>
          <w:sz w:val="20"/>
        </w:rPr>
        <w:t xml:space="preserve"> </w:t>
      </w:r>
      <w:proofErr w:type="spellStart"/>
      <w:r w:rsidRPr="0029740D">
        <w:rPr>
          <w:b/>
          <w:sz w:val="20"/>
        </w:rPr>
        <w:t>Standardization</w:t>
      </w:r>
      <w:proofErr w:type="spellEnd"/>
      <w:r w:rsidRPr="0029740D">
        <w:rPr>
          <w:b/>
          <w:sz w:val="20"/>
        </w:rPr>
        <w:t xml:space="preserve"> - 2013-14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29740D" w:rsidRPr="0029740D" w:rsidTr="0029740D">
        <w:tc>
          <w:tcPr>
            <w:tcW w:w="4962" w:type="dxa"/>
            <w:shd w:val="clear" w:color="auto" w:fill="auto"/>
          </w:tcPr>
          <w:p w:rsidR="0029740D" w:rsidRPr="0029740D" w:rsidRDefault="0029740D" w:rsidP="008B1213">
            <w:pPr>
              <w:ind w:left="1276" w:hanging="1276"/>
              <w:rPr>
                <w:b/>
                <w:iCs/>
                <w:sz w:val="18"/>
                <w:szCs w:val="18"/>
              </w:rPr>
            </w:pPr>
            <w:bookmarkStart w:id="0" w:name="_GoBack"/>
            <w:r w:rsidRPr="0029740D">
              <w:rPr>
                <w:b/>
                <w:iCs/>
                <w:sz w:val="18"/>
                <w:szCs w:val="18"/>
              </w:rPr>
              <w:t>Příloha č. B – Tematické priority pro normalizační práci v rámci projektu, přiřazení zodpovědného experta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Bezpečnost výrobků</w:t>
            </w:r>
            <w:r w:rsidRPr="0029740D">
              <w:rPr>
                <w:sz w:val="18"/>
                <w:szCs w:val="18"/>
              </w:rPr>
              <w:t xml:space="preserve"> obecně s ohledem na zranitelné spotřebitele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Sledovat vývoj aktualizovaných znění pokynů ISO/IEC 50, 51, 71 (tvorba norem s ohledem na </w:t>
            </w:r>
            <w:r w:rsidRPr="0029740D">
              <w:rPr>
                <w:b/>
                <w:sz w:val="18"/>
                <w:szCs w:val="18"/>
              </w:rPr>
              <w:t>bezpečnost pro děti, a s ohledem pro seniory a zdravotně postižené</w:t>
            </w:r>
            <w:r w:rsidRPr="0029740D">
              <w:rPr>
                <w:sz w:val="18"/>
                <w:szCs w:val="18"/>
              </w:rPr>
              <w:t xml:space="preserve"> atp.) a sledovat vývoj revize normy pro </w:t>
            </w:r>
            <w:r w:rsidRPr="0029740D">
              <w:rPr>
                <w:b/>
                <w:sz w:val="18"/>
                <w:szCs w:val="18"/>
              </w:rPr>
              <w:t>stahování výrobků z trhu</w:t>
            </w:r>
            <w:r w:rsidRPr="0029740D">
              <w:rPr>
                <w:sz w:val="18"/>
                <w:szCs w:val="18"/>
              </w:rPr>
              <w:t>, popř. dalších horizontálních, průřezových dokumentů s důležitostí pro aplikaci norem a s dopadem na konečného spotřebitele.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 xml:space="preserve">Externí služby – Jan </w:t>
            </w:r>
            <w:proofErr w:type="spellStart"/>
            <w:r w:rsidRPr="0029740D">
              <w:rPr>
                <w:sz w:val="18"/>
                <w:szCs w:val="18"/>
              </w:rPr>
              <w:t>Jankech</w:t>
            </w:r>
            <w:proofErr w:type="spellEnd"/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Normalizace výrobků pro děti</w:t>
            </w:r>
            <w:r w:rsidRPr="0029740D">
              <w:rPr>
                <w:sz w:val="18"/>
                <w:szCs w:val="18"/>
              </w:rPr>
              <w:t>, např. autosedačky, balení odolná před dětmi; zařízení pro hřiště a sportoviště; aj. dle aktuálního vývoje.</w:t>
            </w:r>
          </w:p>
          <w:p w:rsidR="0029740D" w:rsidRPr="0029740D" w:rsidRDefault="0029740D" w:rsidP="008B1213">
            <w:pPr>
              <w:spacing w:after="120"/>
              <w:ind w:left="348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 xml:space="preserve">Externí služby – Zdeňka </w:t>
            </w:r>
            <w:proofErr w:type="spellStart"/>
            <w:r w:rsidRPr="0029740D">
              <w:rPr>
                <w:sz w:val="18"/>
                <w:szCs w:val="18"/>
              </w:rPr>
              <w:t>Houžičková</w:t>
            </w:r>
            <w:proofErr w:type="spellEnd"/>
            <w:r w:rsidRPr="0029740D">
              <w:rPr>
                <w:sz w:val="18"/>
                <w:szCs w:val="18"/>
              </w:rPr>
              <w:t xml:space="preserve"> (hřiště a sportoviště)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ab/>
            </w:r>
            <w:r w:rsidRPr="0029740D">
              <w:rPr>
                <w:sz w:val="18"/>
                <w:szCs w:val="18"/>
              </w:rPr>
              <w:tab/>
            </w:r>
            <w:r w:rsidRPr="0029740D">
              <w:rPr>
                <w:sz w:val="18"/>
                <w:szCs w:val="18"/>
              </w:rPr>
              <w:tab/>
              <w:t>Externí služby – Eva Štejfová (ostatní)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Bezpečnost a výkon domácích spotřebičů</w:t>
            </w:r>
            <w:r w:rsidRPr="0029740D">
              <w:rPr>
                <w:sz w:val="18"/>
                <w:szCs w:val="18"/>
              </w:rPr>
              <w:t xml:space="preserve">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Marie Živcová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Bezpečnost (a kvalita) potravin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Irena Michalová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Bezpečnost a kvalita textilu a obuvi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Zodpovědný expert: Externí služby – Františka Vránová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Normalizace a řešení </w:t>
            </w:r>
            <w:r w:rsidRPr="0029740D">
              <w:rPr>
                <w:b/>
                <w:sz w:val="18"/>
                <w:szCs w:val="18"/>
              </w:rPr>
              <w:t>specifických technologií - nanotechnologie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lastRenderedPageBreak/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David Pešek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Služby globálních trhů</w:t>
            </w:r>
            <w:r w:rsidRPr="0029740D">
              <w:rPr>
                <w:sz w:val="18"/>
                <w:szCs w:val="18"/>
              </w:rPr>
              <w:t xml:space="preserve">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Vyhodnocovat aktuální témata, která jsou velmi různorodá; hledat kapacity, jak se na co nejširší úrovni zapojovat. Zejména:</w:t>
            </w:r>
          </w:p>
          <w:p w:rsidR="0029740D" w:rsidRPr="0029740D" w:rsidRDefault="0029740D" w:rsidP="0029740D">
            <w:pPr>
              <w:numPr>
                <w:ilvl w:val="1"/>
                <w:numId w:val="8"/>
              </w:num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Služeb pro oblast turizmu </w:t>
            </w:r>
          </w:p>
          <w:p w:rsidR="0029740D" w:rsidRPr="0029740D" w:rsidRDefault="0029740D" w:rsidP="008B1213">
            <w:p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 xml:space="preserve">Externí služby – Aleš </w:t>
            </w:r>
            <w:proofErr w:type="spellStart"/>
            <w:r w:rsidRPr="0029740D">
              <w:rPr>
                <w:sz w:val="18"/>
                <w:szCs w:val="18"/>
              </w:rPr>
              <w:t>Jankech</w:t>
            </w:r>
            <w:proofErr w:type="spellEnd"/>
          </w:p>
          <w:p w:rsidR="0029740D" w:rsidRPr="0029740D" w:rsidRDefault="0029740D" w:rsidP="0029740D">
            <w:pPr>
              <w:numPr>
                <w:ilvl w:val="1"/>
                <w:numId w:val="8"/>
              </w:num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Fakturování síťových služeb</w:t>
            </w:r>
          </w:p>
          <w:p w:rsidR="0029740D" w:rsidRPr="0029740D" w:rsidRDefault="0029740D" w:rsidP="008B1213">
            <w:p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Libor Novák</w:t>
            </w:r>
          </w:p>
          <w:p w:rsidR="0029740D" w:rsidRPr="0029740D" w:rsidRDefault="0029740D" w:rsidP="0029740D">
            <w:pPr>
              <w:numPr>
                <w:ilvl w:val="1"/>
                <w:numId w:val="8"/>
              </w:num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E-obchodu</w:t>
            </w:r>
          </w:p>
          <w:p w:rsidR="0029740D" w:rsidRPr="0029740D" w:rsidRDefault="0029740D" w:rsidP="008B1213">
            <w:pPr>
              <w:spacing w:after="120"/>
              <w:ind w:left="709" w:hanging="425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David Pešek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Normalizace služeb obecně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Vyhodnotit pokyn ISO/IEC 76/2008 „Tvorba norem pro služby – Doporučení pro řešení spotřebitelských záležitostí“ z hlediska obsahu a dostupnosti (v </w:t>
            </w:r>
            <w:proofErr w:type="gramStart"/>
            <w:r w:rsidRPr="0029740D">
              <w:rPr>
                <w:sz w:val="18"/>
                <w:szCs w:val="18"/>
              </w:rPr>
              <w:t>češtině) (= navrhnout</w:t>
            </w:r>
            <w:proofErr w:type="gramEnd"/>
            <w:r w:rsidRPr="0029740D">
              <w:rPr>
                <w:sz w:val="18"/>
                <w:szCs w:val="18"/>
              </w:rPr>
              <w:t xml:space="preserve"> řešení).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 xml:space="preserve">Externí služby – Aleš </w:t>
            </w:r>
            <w:proofErr w:type="spellStart"/>
            <w:r w:rsidRPr="0029740D">
              <w:rPr>
                <w:sz w:val="18"/>
                <w:szCs w:val="18"/>
              </w:rPr>
              <w:t>Jankech</w:t>
            </w:r>
            <w:proofErr w:type="spellEnd"/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Společenská odpovědnost</w:t>
            </w:r>
            <w:r w:rsidRPr="0029740D">
              <w:rPr>
                <w:sz w:val="18"/>
                <w:szCs w:val="18"/>
              </w:rPr>
              <w:t xml:space="preserve"> organizací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>Externí služby – Tomáš Nejedlo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Oblast zaměřená na </w:t>
            </w:r>
            <w:r w:rsidRPr="0029740D">
              <w:rPr>
                <w:b/>
                <w:sz w:val="18"/>
                <w:szCs w:val="18"/>
              </w:rPr>
              <w:t>seniory a zdravotně postižené</w:t>
            </w:r>
            <w:r w:rsidRPr="0029740D">
              <w:rPr>
                <w:sz w:val="18"/>
                <w:szCs w:val="18"/>
              </w:rPr>
              <w:t xml:space="preserve">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Sledovat vývoj, připravit připomínky na evropské a případně i mezinárodní úrovni. Příprava podkladu pro konzultace s partnerem. Rozvíjet dále toto pro nás specificky prioritní téma. Např. a zejména</w:t>
            </w:r>
          </w:p>
          <w:p w:rsidR="0029740D" w:rsidRPr="0029740D" w:rsidRDefault="0029740D" w:rsidP="0029740D">
            <w:pPr>
              <w:numPr>
                <w:ilvl w:val="1"/>
                <w:numId w:val="8"/>
              </w:numPr>
              <w:spacing w:after="120"/>
              <w:ind w:left="108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Posilování spolupráce na mezinárodní, evropské i národní úrovni v jednotlivých oblastech. 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Zodpovědný expert:  Externí služby –</w:t>
            </w:r>
            <w:r w:rsidRPr="0029740D">
              <w:rPr>
                <w:sz w:val="18"/>
                <w:szCs w:val="18"/>
              </w:rPr>
              <w:tab/>
              <w:t>Lenka Bergmannová</w:t>
            </w:r>
          </w:p>
          <w:p w:rsidR="0029740D" w:rsidRPr="0029740D" w:rsidRDefault="0029740D" w:rsidP="0029740D">
            <w:pPr>
              <w:numPr>
                <w:ilvl w:val="0"/>
                <w:numId w:val="8"/>
              </w:num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b/>
                <w:sz w:val="18"/>
                <w:szCs w:val="18"/>
              </w:rPr>
              <w:t>Normalizace veřejných služeb</w:t>
            </w:r>
          </w:p>
          <w:p w:rsidR="0029740D" w:rsidRPr="0029740D" w:rsidRDefault="0029740D" w:rsidP="008B1213">
            <w:pPr>
              <w:spacing w:after="120"/>
              <w:ind w:left="360"/>
              <w:jc w:val="both"/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>Konzultovat s partnerem jak je věc řešena ve Švýcarsku</w:t>
            </w:r>
          </w:p>
          <w:p w:rsidR="0029740D" w:rsidRPr="0029740D" w:rsidRDefault="0029740D" w:rsidP="008B1213">
            <w:pPr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</w:rPr>
              <w:t xml:space="preserve">Zodpovědný expert: </w:t>
            </w:r>
            <w:r w:rsidRPr="0029740D">
              <w:rPr>
                <w:sz w:val="18"/>
                <w:szCs w:val="18"/>
              </w:rPr>
              <w:tab/>
              <w:t xml:space="preserve">Externí služby – Aleš </w:t>
            </w:r>
            <w:proofErr w:type="spellStart"/>
            <w:r w:rsidRPr="0029740D">
              <w:rPr>
                <w:sz w:val="18"/>
                <w:szCs w:val="18"/>
              </w:rPr>
              <w:t>Jankech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9740D" w:rsidRPr="0029740D" w:rsidRDefault="0029740D" w:rsidP="008B1213">
            <w:pPr>
              <w:ind w:left="1168" w:hanging="1168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lastRenderedPageBreak/>
              <w:t>Appendix B - Thematic priorities for standardization work in the project, assignment of responsible expert</w:t>
            </w: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 </w:t>
            </w:r>
            <w:r w:rsidRPr="0029740D">
              <w:rPr>
                <w:b/>
                <w:sz w:val="18"/>
                <w:szCs w:val="18"/>
                <w:lang w:val="en-GB"/>
              </w:rPr>
              <w:t>Product safety</w:t>
            </w:r>
            <w:r w:rsidRPr="0029740D">
              <w:rPr>
                <w:sz w:val="18"/>
                <w:szCs w:val="18"/>
                <w:lang w:val="en-GB"/>
              </w:rPr>
              <w:t xml:space="preserve"> of vulnerable consumers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Monitor the development of the updated version of the guidelines ISO/IEC 50, 51, 71 (creation of standards with respect to the child, as regard for the elderly and disabled, etc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..)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And follow the development of standards revision for withdrawing products from the market, or other horizontal, cross-cutting documents with relevance to the application of standards and the impact on the final consumer.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Jan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Jankech</w:t>
            </w:r>
            <w:proofErr w:type="spellEnd"/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D46A6D" w:rsidRDefault="0029740D" w:rsidP="00D46A6D">
            <w:pPr>
              <w:numPr>
                <w:ilvl w:val="0"/>
                <w:numId w:val="9"/>
              </w:numPr>
              <w:spacing w:after="200"/>
              <w:rPr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Standardization of products for children</w:t>
            </w:r>
            <w:r w:rsidR="00D46A6D">
              <w:rPr>
                <w:sz w:val="18"/>
                <w:szCs w:val="18"/>
                <w:lang w:val="en-GB"/>
              </w:rPr>
              <w:t xml:space="preserve">, such </w:t>
            </w:r>
            <w:r w:rsidRPr="00D46A6D">
              <w:rPr>
                <w:sz w:val="18"/>
                <w:szCs w:val="18"/>
                <w:lang w:val="en-GB"/>
              </w:rPr>
              <w:t>as car seats, child proof packaging; equipment for playgrounds and sports fields, etc. according to current developments.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for consultation with a partner.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Zdenka</w:t>
            </w:r>
            <w:proofErr w:type="spellEnd"/>
            <w:r w:rsidRPr="0029740D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Houžičková</w:t>
            </w:r>
            <w:proofErr w:type="spellEnd"/>
            <w:r w:rsidRPr="0029740D">
              <w:rPr>
                <w:sz w:val="18"/>
                <w:szCs w:val="18"/>
                <w:lang w:val="en-GB"/>
              </w:rPr>
              <w:t xml:space="preserve"> (playground and sport fields)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External services - Eva Štejfová (Other)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 </w:t>
            </w:r>
            <w:r w:rsidRPr="0029740D">
              <w:rPr>
                <w:b/>
                <w:sz w:val="18"/>
                <w:szCs w:val="18"/>
                <w:lang w:val="en-GB"/>
              </w:rPr>
              <w:t>Safety and performance of household appliances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Monitor developments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,  make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comments on a European or even international level. Preparation of documents for consultation with a partner.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Marie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Živcová</w:t>
            </w:r>
            <w:proofErr w:type="spellEnd"/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The safety (and quality) of food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Monitor developments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,  make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comments on a European or even international level. Preparation of documents for consultation with a partner.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Irena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Michalova</w:t>
            </w:r>
            <w:proofErr w:type="spellEnd"/>
          </w:p>
          <w:p w:rsidR="00D46A6D" w:rsidRPr="0029740D" w:rsidRDefault="00D46A6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The safety and quality of clothing and footwear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for consultation with a partner.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Responsible expert: External services - Francis Vránová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Normalization and address </w:t>
            </w:r>
            <w:r w:rsidRPr="0029740D">
              <w:rPr>
                <w:b/>
                <w:sz w:val="18"/>
                <w:szCs w:val="18"/>
                <w:lang w:val="en-GB"/>
              </w:rPr>
              <w:t>specific technology - nanotechnology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</w:t>
            </w:r>
            <w:r w:rsidRPr="0029740D">
              <w:rPr>
                <w:sz w:val="18"/>
                <w:szCs w:val="18"/>
                <w:lang w:val="en-GB"/>
              </w:rPr>
              <w:lastRenderedPageBreak/>
              <w:t>for consultation with a partner.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Responsible expert: External services - David Pesek</w:t>
            </w:r>
          </w:p>
          <w:p w:rsidR="00D46A6D" w:rsidRPr="0029740D" w:rsidRDefault="00D46A6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 </w:t>
            </w:r>
            <w:r w:rsidRPr="0029740D">
              <w:rPr>
                <w:b/>
                <w:sz w:val="18"/>
                <w:szCs w:val="18"/>
                <w:lang w:val="en-GB"/>
              </w:rPr>
              <w:t>Services Global Markets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Evaluate current topics that are very diverse; seek capacity as the widest level involved. In particular: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• Services in the field of tourism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Aleš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Jankech</w:t>
            </w:r>
            <w:proofErr w:type="spellEnd"/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• Invoicing network services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Responsible expert: External services - Libor Novák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• E - commerce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Responsible expert: External services - David Pesek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for consultation with a partner.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Standardization of services in general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Evaluate the ISO / IEC 76/2008 " Making of service standards - Recommendations for addressing consumer issues " in terms of content and accessibility (in English) (=propose solutions) 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Aleš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Jankech</w:t>
            </w:r>
            <w:proofErr w:type="spellEnd"/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Corporate Social Responsibility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for consultation with a partner.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– Tomáš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Nejedlo</w:t>
            </w:r>
            <w:proofErr w:type="spellEnd"/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Areas of focus for the elderly and disabled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Monitor </w:t>
            </w:r>
            <w:proofErr w:type="gramStart"/>
            <w:r w:rsidRPr="0029740D">
              <w:rPr>
                <w:sz w:val="18"/>
                <w:szCs w:val="18"/>
                <w:lang w:val="en-GB"/>
              </w:rPr>
              <w:t>developments,</w:t>
            </w:r>
            <w:proofErr w:type="gramEnd"/>
            <w:r w:rsidRPr="0029740D">
              <w:rPr>
                <w:sz w:val="18"/>
                <w:szCs w:val="18"/>
                <w:lang w:val="en-GB"/>
              </w:rPr>
              <w:t xml:space="preserve"> make comments on a European or even international level. Preparation of documents for consultation with a partner. Further develop this for us specifically priority topic.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Eg</w:t>
            </w:r>
            <w:proofErr w:type="spellEnd"/>
            <w:r w:rsidRPr="0029740D">
              <w:rPr>
                <w:sz w:val="18"/>
                <w:szCs w:val="18"/>
                <w:lang w:val="en-GB"/>
              </w:rPr>
              <w:t>. and in particular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• Strengthening cooperation at international, European and national level in various fields.</w:t>
            </w:r>
          </w:p>
          <w:p w:rsid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>Responsible expert: External services - Lenka Bergmannová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</w:p>
          <w:p w:rsidR="0029740D" w:rsidRPr="0029740D" w:rsidRDefault="0029740D" w:rsidP="0029740D">
            <w:pPr>
              <w:numPr>
                <w:ilvl w:val="0"/>
                <w:numId w:val="9"/>
              </w:numPr>
              <w:spacing w:after="200"/>
              <w:rPr>
                <w:b/>
                <w:sz w:val="18"/>
                <w:szCs w:val="18"/>
                <w:lang w:val="en-GB"/>
              </w:rPr>
            </w:pPr>
            <w:r w:rsidRPr="0029740D">
              <w:rPr>
                <w:b/>
                <w:sz w:val="18"/>
                <w:szCs w:val="18"/>
                <w:lang w:val="en-GB"/>
              </w:rPr>
              <w:t>Standardization of public services</w:t>
            </w:r>
          </w:p>
          <w:p w:rsidR="0029740D" w:rsidRPr="0029740D" w:rsidRDefault="0029740D" w:rsidP="008B1213">
            <w:pPr>
              <w:rPr>
                <w:sz w:val="18"/>
                <w:szCs w:val="18"/>
                <w:lang w:val="en-GB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Consult with your partner as a matter dealt with in Switzerland </w:t>
            </w:r>
          </w:p>
          <w:p w:rsidR="0029740D" w:rsidRPr="0029740D" w:rsidRDefault="0029740D" w:rsidP="008B1213">
            <w:pPr>
              <w:rPr>
                <w:sz w:val="18"/>
                <w:szCs w:val="18"/>
              </w:rPr>
            </w:pPr>
            <w:r w:rsidRPr="0029740D">
              <w:rPr>
                <w:sz w:val="18"/>
                <w:szCs w:val="18"/>
                <w:lang w:val="en-GB"/>
              </w:rPr>
              <w:t xml:space="preserve">Responsible expert: External services - Aleš </w:t>
            </w:r>
            <w:proofErr w:type="spellStart"/>
            <w:r w:rsidRPr="0029740D">
              <w:rPr>
                <w:sz w:val="18"/>
                <w:szCs w:val="18"/>
                <w:lang w:val="en-GB"/>
              </w:rPr>
              <w:t>Jankech</w:t>
            </w:r>
            <w:proofErr w:type="spellEnd"/>
          </w:p>
        </w:tc>
      </w:tr>
      <w:bookmarkEnd w:id="0"/>
    </w:tbl>
    <w:p w:rsidR="0029740D" w:rsidRDefault="0029740D" w:rsidP="0029740D"/>
    <w:p w:rsidR="008B1213" w:rsidRPr="00285112" w:rsidRDefault="008B1213" w:rsidP="005D061B">
      <w:pPr>
        <w:rPr>
          <w:color w:val="000000"/>
          <w:sz w:val="22"/>
          <w:szCs w:val="22"/>
        </w:rPr>
      </w:pPr>
    </w:p>
    <w:sectPr w:rsidR="008B1213" w:rsidRPr="00285112" w:rsidSect="007D0D51">
      <w:headerReference w:type="default" r:id="rId9"/>
      <w:footerReference w:type="default" r:id="rId10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9F" w:rsidRDefault="00BE5F9F">
      <w:r>
        <w:separator/>
      </w:r>
    </w:p>
  </w:endnote>
  <w:endnote w:type="continuationSeparator" w:id="0">
    <w:p w:rsidR="00BE5F9F" w:rsidRDefault="00BE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13" w:rsidRDefault="008B121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9F" w:rsidRDefault="00BE5F9F">
      <w:r>
        <w:separator/>
      </w:r>
    </w:p>
  </w:footnote>
  <w:footnote w:type="continuationSeparator" w:id="0">
    <w:p w:rsidR="00BE5F9F" w:rsidRDefault="00BE5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13" w:rsidRPr="008B194A" w:rsidRDefault="00BE5F9F" w:rsidP="00AE5DB9">
    <w:pPr>
      <w:pStyle w:val="Zhlav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312299571"/>
        <w:docPartObj>
          <w:docPartGallery w:val="Page Numbers (Margins)"/>
          <w:docPartUnique/>
        </w:docPartObj>
      </w:sdtPr>
      <w:sdtEndPr/>
      <w:sdtContent>
        <w:r w:rsidR="00ED4585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Ová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1213" w:rsidRDefault="00EC1A00">
                              <w:pPr>
                                <w:rPr>
                                  <w:rStyle w:val="slostrnky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8B1213"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D061B" w:rsidRPr="005D061B">
                                <w:rPr>
                                  <w:rStyle w:val="slostrnky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slostrnky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á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kAcQIAANoEAAAOAAAAZHJzL2Uyb0RvYy54bWysVO1u0zAU/Y/EO1j+3yWpknaJlk5rSxHS&#10;YJMGD+DaTmPh2MZ2mw60h+FZeDGunXZrxx+E6A/3+uv4nHvuzdX1vpNox60TWtU4u0gx4opqJtSm&#10;xl8+r0aXGDlPFCNSK17jR+7w9eztm6veVHysWy0ZtwhAlKt6U+PWe1MliaMt74i70IYr2Gy07YiH&#10;qd0kzJIe0DuZjNN0kvTaMmM15c7B6nLYxLOI3zSc+rumcdwjWWPg5uNo47gOYzK7ItXGEtMKeqBB&#10;/oFFR4SCR5+hlsQTtLXiD6hOUKudbvwF1V2im0ZQHjWAmix9peahJYZHLZAcZ57T5P4fLP20u7dI&#10;sBoXRYGRIh2YdLf79VOiccxOb1wFhx7MvQ36nLnV9KtDSi9aojb8xlrdt5ww4JSFbCZnF8LEwVW0&#10;7j9qBtBk63VM1L6xXQCEFKB99OPx2Q++94jCYj6dFsACUdg6xOEFUh0vG+v8e647FIIacymFcSFj&#10;pCK7W+eH08dTkb+Wgq2ElHFiN+uFtGhHoDrK5Xw+GSSAzNNjQAewwoVALLr6o8zGeTofl6PV5HI6&#10;yld5MSqn6eUozcp5OUnzMl+ungKRLK9awRhXt0LxY4Vl+d85eKj1oTZijaEemBbjImo8Y+lOxaTx&#10;F/14JcbqrWKx6oNr7w6xJ0IOcXLOOKYbZB//YyKix8HW0Gau8vv1HhBDuNbsEdy2GtwA4+DDAEGr&#10;7XeMemiyGrtvW2I5RvKDgooJHRmDvJgGo+1xdX26ShQFiBp7jIZw4YcO3horNi28kMV0KH0D1dWI&#10;aPsLm0NNQgNFEYdmDx16Oo+nXj5Js98AAAD//wMAUEsDBBQABgAIAAAAIQDssEif2AAAAAMBAAAP&#10;AAAAZHJzL2Rvd25yZXYueG1sTI9BS8NAEIXvgv9hGcGbnbRSW2I2pRRUKPVg7Q+YZsckJDsbsts0&#10;/nvXerCXeQxveO+bbDXaVg3c+9qJhukkAcVSOFNLqeHw+fKwBOUDiaHWCWv4Zg+r/PYmo9S4s3zw&#10;sA+liiHiU9JQhdCliL6o2JKfuI4lel+utxTi2pdoejrHcNviLEme0FItsaGijjcVF83+ZDU0u0d/&#10;WMzRbNFP34bXxDTL7bvW93fj+hlU4DH8H8MvfkSHPDId3UmMV62G+Ei4zOgt5jNQxz/FPMNr9vwH&#10;AAD//wMAUEsBAi0AFAAGAAgAAAAhALaDOJL+AAAA4QEAABMAAAAAAAAAAAAAAAAAAAAAAFtDb250&#10;ZW50X1R5cGVzXS54bWxQSwECLQAUAAYACAAAACEAOP0h/9YAAACUAQAACwAAAAAAAAAAAAAAAAAv&#10;AQAAX3JlbHMvLnJlbHNQSwECLQAUAAYACAAAACEAuZApAHECAADaBAAADgAAAAAAAAAAAAAAAAAu&#10;AgAAZHJzL2Uyb0RvYy54bWxQSwECLQAUAAYACAAAACEA7LBIn9gAAAADAQAADwAAAAAAAAAAAAAA&#10;AADLBAAAZHJzL2Rvd25yZXYueG1sUEsFBgAAAAAEAAQA8wAAANAFAAAAAA==&#10;" o:allowincell="f" fillcolor="#9dbb61" stroked="f">
                  <v:textbox inset="0,,0">
                    <w:txbxContent>
                      <w:p w:rsidR="008B1213" w:rsidRDefault="00EC1A00">
                        <w:pPr>
                          <w:rPr>
                            <w:rStyle w:val="slostrnky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="008B1213"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D061B" w:rsidRPr="005D061B">
                          <w:rPr>
                            <w:rStyle w:val="slostrnky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slostrnky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8B1213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AC"/>
    <w:multiLevelType w:val="hybridMultilevel"/>
    <w:tmpl w:val="D02005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8081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33131F5E"/>
    <w:multiLevelType w:val="singleLevel"/>
    <w:tmpl w:val="309EA0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3D2B4847"/>
    <w:multiLevelType w:val="hybridMultilevel"/>
    <w:tmpl w:val="11426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1FA"/>
    <w:multiLevelType w:val="hybridMultilevel"/>
    <w:tmpl w:val="8E42174C"/>
    <w:lvl w:ilvl="0" w:tplc="84CE6D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E1A2F"/>
    <w:multiLevelType w:val="hybridMultilevel"/>
    <w:tmpl w:val="780E43B4"/>
    <w:lvl w:ilvl="0" w:tplc="84CE6D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0AF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5E9842A1"/>
    <w:multiLevelType w:val="hybridMultilevel"/>
    <w:tmpl w:val="ACCA4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311B16"/>
    <w:multiLevelType w:val="hybridMultilevel"/>
    <w:tmpl w:val="F1E43C82"/>
    <w:lvl w:ilvl="0" w:tplc="A1E42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62725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04"/>
    <w:rsid w:val="000C3A95"/>
    <w:rsid w:val="000F054E"/>
    <w:rsid w:val="00143E1D"/>
    <w:rsid w:val="001F79A2"/>
    <w:rsid w:val="002579A2"/>
    <w:rsid w:val="00262E00"/>
    <w:rsid w:val="002646A7"/>
    <w:rsid w:val="00285112"/>
    <w:rsid w:val="0029740D"/>
    <w:rsid w:val="002D4022"/>
    <w:rsid w:val="002F0906"/>
    <w:rsid w:val="0037044C"/>
    <w:rsid w:val="00375D17"/>
    <w:rsid w:val="00387070"/>
    <w:rsid w:val="003873A6"/>
    <w:rsid w:val="003B54D2"/>
    <w:rsid w:val="003D074B"/>
    <w:rsid w:val="003D223B"/>
    <w:rsid w:val="003F7395"/>
    <w:rsid w:val="0048491C"/>
    <w:rsid w:val="004D59FA"/>
    <w:rsid w:val="004E4964"/>
    <w:rsid w:val="004E55AA"/>
    <w:rsid w:val="004E66C8"/>
    <w:rsid w:val="00567C75"/>
    <w:rsid w:val="005C4964"/>
    <w:rsid w:val="005C4D59"/>
    <w:rsid w:val="005D061B"/>
    <w:rsid w:val="00651AA7"/>
    <w:rsid w:val="006D7004"/>
    <w:rsid w:val="007140AE"/>
    <w:rsid w:val="00716807"/>
    <w:rsid w:val="007256ED"/>
    <w:rsid w:val="00734DBB"/>
    <w:rsid w:val="007C0E24"/>
    <w:rsid w:val="007D0D51"/>
    <w:rsid w:val="00822518"/>
    <w:rsid w:val="00826A8F"/>
    <w:rsid w:val="008406AB"/>
    <w:rsid w:val="00876673"/>
    <w:rsid w:val="008B1213"/>
    <w:rsid w:val="008B194A"/>
    <w:rsid w:val="008D7E3F"/>
    <w:rsid w:val="00920DBC"/>
    <w:rsid w:val="00947FE7"/>
    <w:rsid w:val="009C3834"/>
    <w:rsid w:val="009C4C71"/>
    <w:rsid w:val="00A04596"/>
    <w:rsid w:val="00A36BBB"/>
    <w:rsid w:val="00A6594C"/>
    <w:rsid w:val="00A72DF4"/>
    <w:rsid w:val="00AE5DB9"/>
    <w:rsid w:val="00B51FD5"/>
    <w:rsid w:val="00BA6E57"/>
    <w:rsid w:val="00BC0F61"/>
    <w:rsid w:val="00BE5F9F"/>
    <w:rsid w:val="00C13B67"/>
    <w:rsid w:val="00C2672A"/>
    <w:rsid w:val="00C81F0F"/>
    <w:rsid w:val="00D23971"/>
    <w:rsid w:val="00D46A6D"/>
    <w:rsid w:val="00DA5461"/>
    <w:rsid w:val="00E24434"/>
    <w:rsid w:val="00E27AF9"/>
    <w:rsid w:val="00EC1A00"/>
    <w:rsid w:val="00ED4585"/>
    <w:rsid w:val="00ED5E3A"/>
    <w:rsid w:val="00F05FDA"/>
    <w:rsid w:val="00F738F1"/>
    <w:rsid w:val="00F9417C"/>
    <w:rsid w:val="00FD7A0F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D7E3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2DF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2DF4"/>
    <w:rPr>
      <w:sz w:val="24"/>
      <w:szCs w:val="24"/>
    </w:rPr>
  </w:style>
  <w:style w:type="character" w:styleId="slostrnky">
    <w:name w:val="page number"/>
    <w:basedOn w:val="Standardnpsmoodstavce"/>
    <w:uiPriority w:val="99"/>
    <w:unhideWhenUsed/>
    <w:rsid w:val="00A72DF4"/>
  </w:style>
  <w:style w:type="character" w:customStyle="1" w:styleId="Nadpis3Char">
    <w:name w:val="Nadpis 3 Char"/>
    <w:basedOn w:val="Standardnpsmoodstavce"/>
    <w:link w:val="Nadpis3"/>
    <w:rsid w:val="008D7E3F"/>
    <w:rPr>
      <w:sz w:val="24"/>
    </w:rPr>
  </w:style>
  <w:style w:type="paragraph" w:styleId="Nzev">
    <w:name w:val="Title"/>
    <w:basedOn w:val="Normln"/>
    <w:link w:val="NzevChar"/>
    <w:qFormat/>
    <w:rsid w:val="008D7E3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D7E3F"/>
    <w:rPr>
      <w:b/>
      <w:sz w:val="32"/>
    </w:rPr>
  </w:style>
  <w:style w:type="paragraph" w:styleId="Zkladntextodsazen">
    <w:name w:val="Body Text Indent"/>
    <w:basedOn w:val="Normln"/>
    <w:link w:val="ZkladntextodsazenChar"/>
    <w:semiHidden/>
    <w:rsid w:val="008D7E3F"/>
    <w:pPr>
      <w:ind w:left="4320" w:hanging="43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E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7E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8D7E3F"/>
    <w:pPr>
      <w:keepNext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2DF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72DF4"/>
    <w:rPr>
      <w:sz w:val="24"/>
      <w:szCs w:val="24"/>
    </w:rPr>
  </w:style>
  <w:style w:type="character" w:styleId="slostrnky">
    <w:name w:val="page number"/>
    <w:basedOn w:val="Standardnpsmoodstavce"/>
    <w:uiPriority w:val="99"/>
    <w:unhideWhenUsed/>
    <w:rsid w:val="00A72DF4"/>
  </w:style>
  <w:style w:type="character" w:customStyle="1" w:styleId="Nadpis3Char">
    <w:name w:val="Nadpis 3 Char"/>
    <w:basedOn w:val="Standardnpsmoodstavce"/>
    <w:link w:val="Nadpis3"/>
    <w:rsid w:val="008D7E3F"/>
    <w:rPr>
      <w:sz w:val="24"/>
    </w:rPr>
  </w:style>
  <w:style w:type="paragraph" w:styleId="Nzev">
    <w:name w:val="Title"/>
    <w:basedOn w:val="Normln"/>
    <w:link w:val="NzevChar"/>
    <w:qFormat/>
    <w:rsid w:val="008D7E3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D7E3F"/>
    <w:rPr>
      <w:b/>
      <w:sz w:val="32"/>
    </w:rPr>
  </w:style>
  <w:style w:type="paragraph" w:styleId="Zkladntextodsazen">
    <w:name w:val="Body Text Indent"/>
    <w:basedOn w:val="Normln"/>
    <w:link w:val="ZkladntextodsazenChar"/>
    <w:semiHidden/>
    <w:rsid w:val="008D7E3F"/>
    <w:pPr>
      <w:ind w:left="4320" w:hanging="432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D7E3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7E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4CE6-762E-4A5B-A393-ABEE9FF0C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1009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Dupal</cp:lastModifiedBy>
  <cp:revision>3</cp:revision>
  <cp:lastPrinted>1900-12-31T23:00:00Z</cp:lastPrinted>
  <dcterms:created xsi:type="dcterms:W3CDTF">2014-06-13T07:55:00Z</dcterms:created>
  <dcterms:modified xsi:type="dcterms:W3CDTF">2014-06-13T07:56:00Z</dcterms:modified>
</cp:coreProperties>
</file>