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0D20103565DF4E9CB52D79E8EF49B8BD" style="width:450.75pt;height:442.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1" w:name="_GoBack"/>
      <w:bookmarkEnd w:id="1"/>
      <w:r>
        <w:rPr>
          <w:rFonts w:ascii="Times New Roman" w:hAnsi="Times New Roman"/>
          <w:noProof/>
          <w:sz w:val="24"/>
        </w:rPr>
        <w:lastRenderedPageBreak/>
        <w:t>Potřeby Unie v oblasti normalizace pro rok 2018 vyplývají z cílů Komise týkajících se Evropy, která „chrání, posiluje a brání“, a budou řešeny v rámci jejích politických priorit, konkrétně:</w:t>
      </w:r>
    </w:p>
    <w:p>
      <w:pPr>
        <w:spacing w:after="120" w:line="240" w:lineRule="auto"/>
        <w:ind w:left="709" w:hanging="425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1.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nový impulz pro zaměstnanost, růst a investice;</w:t>
      </w:r>
    </w:p>
    <w:p>
      <w:pPr>
        <w:spacing w:after="120" w:line="240" w:lineRule="auto"/>
        <w:ind w:left="709" w:hanging="425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2.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propojený jednotný digitální trh;</w:t>
      </w:r>
    </w:p>
    <w:p>
      <w:pPr>
        <w:spacing w:after="120" w:line="240" w:lineRule="auto"/>
        <w:ind w:left="709" w:hanging="425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3.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odolná energetická unie s progresivní politikou v oblasti změny klimatu;</w:t>
      </w:r>
    </w:p>
    <w:p>
      <w:pPr>
        <w:spacing w:after="120" w:line="240" w:lineRule="auto"/>
        <w:ind w:left="709" w:hanging="425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4.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integrovanější a spravedlivější vnitřní trh s posílenou průmyslovou základnou;</w:t>
      </w:r>
    </w:p>
    <w:p>
      <w:pPr>
        <w:spacing w:after="120" w:line="240" w:lineRule="auto"/>
        <w:ind w:left="709" w:hanging="425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7.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prostor spravedlnosti a základních práv založený na vzájemné důvěře a</w:t>
      </w:r>
    </w:p>
    <w:p>
      <w:pPr>
        <w:spacing w:after="240" w:line="240" w:lineRule="auto"/>
        <w:ind w:left="709" w:hanging="425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9.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silnější pozice na mezinárodní scéně.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Návrhy uvedené v tomto pracovním programu nepředstavují úplný seznam opatření, která Komise zamýšlí přijmout v dotyčných oblastech politiky, nýbrž odrážejí potřeby normalizace zjištěné v průběhu přípravy nebo provádění příslušných legislativních aktů a politik.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Cíle navrhovaných opatření jsou tyto:</w:t>
      </w:r>
    </w:p>
    <w:tbl>
      <w:tblPr>
        <w:tblW w:w="9483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3"/>
      </w:tblGrid>
      <w:tr>
        <w:trPr>
          <w:trHeight w:val="1337"/>
        </w:trPr>
        <w:tc>
          <w:tcPr>
            <w:tcW w:w="9483" w:type="dxa"/>
          </w:tcPr>
          <w:p>
            <w:pPr>
              <w:pStyle w:val="Subtitle"/>
              <w:spacing w:after="120"/>
              <w:ind w:left="306"/>
              <w:jc w:val="both"/>
              <w:rPr>
                <w:rFonts w:ascii="Times New Roman" w:hAnsi="Times New Roman" w:cs="Times New Roman"/>
                <w:b/>
                <w:i w:val="0"/>
                <w:noProof/>
                <w:color w:val="auto"/>
              </w:rPr>
            </w:pPr>
            <w:r>
              <w:rPr>
                <w:rFonts w:ascii="Times New Roman" w:hAnsi="Times New Roman"/>
                <w:b/>
                <w:i w:val="0"/>
                <w:noProof/>
                <w:color w:val="auto"/>
              </w:rPr>
              <w:t>Nový impulz pro zaměstnanost, růst a investice:</w:t>
            </w:r>
          </w:p>
          <w:p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i/>
                <w:noProof/>
              </w:rPr>
            </w:pPr>
            <w:r>
              <w:rPr>
                <w:rFonts w:ascii="Times New Roman" w:hAnsi="Times New Roman"/>
                <w:noProof/>
                <w:sz w:val="24"/>
              </w:rPr>
              <w:t>snazší uznávání organických hnojiv a hnojiv založených na odpadu na jednotném trhu, a tudíž podpora úlohy bioživin v oběhovém hospodářství.</w:t>
            </w:r>
          </w:p>
        </w:tc>
      </w:tr>
    </w:tbl>
    <w:p>
      <w:pPr>
        <w:spacing w:after="0"/>
        <w:jc w:val="both"/>
        <w:rPr>
          <w:noProof/>
        </w:rPr>
      </w:pPr>
    </w:p>
    <w:tbl>
      <w:tblPr>
        <w:tblW w:w="9483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3"/>
      </w:tblGrid>
      <w:tr>
        <w:trPr>
          <w:trHeight w:val="2793"/>
        </w:trPr>
        <w:tc>
          <w:tcPr>
            <w:tcW w:w="9483" w:type="dxa"/>
          </w:tcPr>
          <w:p>
            <w:pPr>
              <w:pStyle w:val="Subtitle"/>
              <w:spacing w:after="120"/>
              <w:ind w:left="306"/>
              <w:jc w:val="both"/>
              <w:rPr>
                <w:rFonts w:ascii="Times New Roman" w:hAnsi="Times New Roman" w:cs="Times New Roman"/>
                <w:b/>
                <w:i w:val="0"/>
                <w:noProof/>
                <w:color w:val="auto"/>
              </w:rPr>
            </w:pPr>
            <w:r>
              <w:rPr>
                <w:rFonts w:ascii="Times New Roman" w:hAnsi="Times New Roman"/>
                <w:b/>
                <w:i w:val="0"/>
                <w:noProof/>
                <w:color w:val="auto"/>
              </w:rPr>
              <w:t>Propojený jednotný digitální trh: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zvýšení kvality pevných a bezdrátových/mobilních služeb, včetně v průmyslových sítích;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stanovení norem pro snazší dosažení technologického pokroku v oblasti 5G ve frekvenčním pásmu 26 GHz (24,25–27,50 GHz) a ve vyšších frekvenčních pásmech milimetrových vln;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zlepšení železničních radiokomunikačních systémů, výměny údajů pro cestující a jízdní řády a bezpečnosti IT;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b/>
                <w:i/>
                <w:noProof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zlepšení interoperability a snadného sdílení dat mezi subjekty v hodnotových řetězcích, zejména co se týká řízení životního cyklu výrobků a logistiky. </w:t>
            </w:r>
          </w:p>
        </w:tc>
      </w:tr>
    </w:tbl>
    <w:p>
      <w:pPr>
        <w:pStyle w:val="Subtitle"/>
        <w:spacing w:after="0"/>
        <w:jc w:val="both"/>
        <w:rPr>
          <w:b/>
          <w:i w:val="0"/>
          <w:noProof/>
          <w:color w:val="auto"/>
        </w:rPr>
      </w:pPr>
    </w:p>
    <w:tbl>
      <w:tblPr>
        <w:tblW w:w="9375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5"/>
      </w:tblGrid>
      <w:tr>
        <w:trPr>
          <w:trHeight w:val="6369"/>
        </w:trPr>
        <w:tc>
          <w:tcPr>
            <w:tcW w:w="9375" w:type="dxa"/>
          </w:tcPr>
          <w:p>
            <w:pPr>
              <w:pStyle w:val="Subtitle"/>
              <w:spacing w:after="120"/>
              <w:ind w:left="306"/>
              <w:jc w:val="both"/>
              <w:rPr>
                <w:rFonts w:ascii="Times New Roman" w:hAnsi="Times New Roman" w:cs="Times New Roman"/>
                <w:b/>
                <w:i w:val="0"/>
                <w:noProof/>
                <w:color w:val="auto"/>
              </w:rPr>
            </w:pPr>
            <w:r>
              <w:rPr>
                <w:rFonts w:ascii="Times New Roman" w:hAnsi="Times New Roman"/>
                <w:b/>
                <w:i w:val="0"/>
                <w:noProof/>
                <w:color w:val="auto"/>
              </w:rPr>
              <w:t>Odolná energetická unie s progresivní politikou v oblasti změny klimatu: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zavedení nových snímačů a metod měření k posuzování kvality vnějšího ovzduší;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sledování emisí amoniaku (HN</w:t>
            </w:r>
            <w:r>
              <w:rPr>
                <w:rFonts w:ascii="Times New Roman" w:hAnsi="Times New Roman"/>
                <w:noProof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noProof/>
                <w:sz w:val="24"/>
              </w:rPr>
              <w:t>), chloru a oxidu chloričitého do ovzduší a emisí fluorovodíku nebo celkových plynných fluoridů z průmyslových odvětví;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snížení spotřeby energie počítačů, displejů, serverů a zařízení pro ukládání dat, chladicích zařízení pro komerční účely, elektromotorů, ventilátorů, osvětlovacích těles, chladicích zařízení pro domácnost, běžných vzduchových kompresorů, obráběcích strojů a externích zdrojů napájení;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zlepšení energetické náročnosti soustav vytápění a chlazení v budovách poskytováním náležitých informací konečným spotřebitelům o energetické účinnosti soustav dálkového vytápění a chlazení a využívání obnovitelné energie v těchto soustavách;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podpora zvýšení podílu ethanolu v benzinu z 10 % na 20/25 %, tudíž poskytnutí příležitostí výrobcům automobilů k optimalizaci procesu spalování, což umožní snížení spotřeby paliva a další snížení emisí CO</w:t>
            </w:r>
            <w:r>
              <w:rPr>
                <w:rFonts w:ascii="Times New Roman" w:hAnsi="Times New Roman"/>
                <w:noProof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noProof/>
                <w:sz w:val="24"/>
              </w:rPr>
              <w:t xml:space="preserve"> a jiných znečišťujících látek;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usnadnění globálních opatření k snižování emisí skleníkových plynů a spotřeby paliva; posílení spolupráce s regiony a zeměmi mimo EU a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větší zavádění zelené infrastruktury, zejména v souvislosti s fyzickými moduly budov a postupy.</w:t>
            </w:r>
          </w:p>
        </w:tc>
      </w:tr>
    </w:tbl>
    <w:p>
      <w:pPr>
        <w:spacing w:after="0"/>
        <w:jc w:val="both"/>
        <w:rPr>
          <w:rFonts w:ascii="Times New Roman" w:eastAsia="Calibri" w:hAnsi="Times New Roman" w:cs="Times New Roman"/>
          <w:noProof/>
          <w:sz w:val="24"/>
        </w:rPr>
      </w:pPr>
    </w:p>
    <w:tbl>
      <w:tblPr>
        <w:tblW w:w="9529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9"/>
      </w:tblGrid>
      <w:tr>
        <w:trPr>
          <w:trHeight w:val="1124"/>
        </w:trPr>
        <w:tc>
          <w:tcPr>
            <w:tcW w:w="9529" w:type="dxa"/>
          </w:tcPr>
          <w:p>
            <w:pPr>
              <w:pStyle w:val="Subtitle"/>
              <w:spacing w:after="120"/>
              <w:ind w:left="306"/>
              <w:jc w:val="both"/>
              <w:rPr>
                <w:rFonts w:ascii="Times New Roman" w:hAnsi="Times New Roman" w:cs="Times New Roman"/>
                <w:b/>
                <w:i w:val="0"/>
                <w:noProof/>
                <w:color w:val="auto"/>
              </w:rPr>
            </w:pPr>
            <w:r>
              <w:rPr>
                <w:rFonts w:ascii="Times New Roman" w:hAnsi="Times New Roman"/>
                <w:b/>
                <w:i w:val="0"/>
                <w:noProof/>
                <w:color w:val="auto"/>
              </w:rPr>
              <w:t>Integrovanější a spravedlivější vnitřní trh s posílenou průmyslovou základnou: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posílení úlohy Evropského výboru pro vypracování norem pro vnitrozemskou plavbu (CESNI) při vývoji technických norem pro plavidla vnitrozemské plavby;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sladění produktů evropského globálního družicového navigačního systému s aplikacemi koncových uživatelů;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zvýšení interoperability služeb systému Galileo s trhem letecké dopravy;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standardizace systémů nabídek, platforem, formulářů a údajů pro zadávání veřejných zakázek;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harmonizace bezpečnostních norem pro 3D tiskárny, roboty, autonomní vozidla, větrné turbíny, automatizované stroje a potravinářské stroje;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posílení bezpečnostních a výkonnostních požadavků na zdravotnické prostředky a na diagnostické zdravotnické prostředky </w:t>
            </w:r>
            <w:r>
              <w:rPr>
                <w:rFonts w:ascii="Times New Roman" w:hAnsi="Times New Roman"/>
                <w:i/>
                <w:noProof/>
                <w:sz w:val="24"/>
              </w:rPr>
              <w:t>in vitro</w:t>
            </w:r>
            <w:r>
              <w:rPr>
                <w:rFonts w:ascii="Times New Roman" w:hAnsi="Times New Roman"/>
                <w:noProof/>
                <w:sz w:val="24"/>
              </w:rPr>
              <w:t>;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aktualizace hygienických a bezpečnostních požadavků a zkušebních metod pro stavební výrobky přicházející do styku s vodou;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podpora práce v souvislosti se základními požadavky na bezpilotní letadla;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aktualizace bezpečnostních norem pro výbušniny pro civilní použití v souladu s vývojem technologií;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stanovení nových technických specifikací pro interoperabilitu infrastruktury železničního systému a subsystému kolejová </w:t>
            </w:r>
            <w:r>
              <w:rPr>
                <w:noProof/>
              </w:rPr>
              <w:noBreakHyphen/>
            </w:r>
            <w:r>
              <w:rPr>
                <w:rFonts w:ascii="Times New Roman" w:hAnsi="Times New Roman"/>
                <w:noProof/>
                <w:sz w:val="24"/>
              </w:rPr>
              <w:t>vozidla;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ochrana lidí před zhoubnými nádory a jinými vlivy polycyklických aromatických uhlovodíků na zdraví, a to určením jejich migrace z plastů a pryže;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stanovení minimálních požadavků na zlepšení ochrany zdraví a bezpečnosti pracovníků, kteří jsou potenciálně ohroženi prostředím s nebezpečím výbuchu, a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b/>
                <w:i/>
                <w:noProof/>
              </w:rPr>
            </w:pPr>
            <w:r>
              <w:rPr>
                <w:rFonts w:ascii="Times New Roman" w:hAnsi="Times New Roman"/>
                <w:noProof/>
                <w:sz w:val="24"/>
              </w:rPr>
              <w:t>zvýšení bezpečnosti spotřebitele.</w:t>
            </w:r>
          </w:p>
        </w:tc>
      </w:tr>
    </w:tbl>
    <w:p>
      <w:pPr>
        <w:pStyle w:val="Subtitle"/>
        <w:spacing w:after="0"/>
        <w:jc w:val="both"/>
        <w:rPr>
          <w:b/>
          <w:i w:val="0"/>
          <w:noProof/>
          <w:color w:val="auto"/>
        </w:rPr>
      </w:pPr>
    </w:p>
    <w:tbl>
      <w:tblPr>
        <w:tblW w:w="929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9"/>
      </w:tblGrid>
      <w:tr>
        <w:trPr>
          <w:trHeight w:val="1106"/>
        </w:trPr>
        <w:tc>
          <w:tcPr>
            <w:tcW w:w="9299" w:type="dxa"/>
          </w:tcPr>
          <w:p>
            <w:pPr>
              <w:pStyle w:val="Subtitle"/>
              <w:spacing w:after="120"/>
              <w:ind w:left="306"/>
              <w:jc w:val="both"/>
              <w:rPr>
                <w:rFonts w:ascii="Times New Roman" w:hAnsi="Times New Roman" w:cs="Times New Roman"/>
                <w:b/>
                <w:i w:val="0"/>
                <w:noProof/>
                <w:color w:val="auto"/>
              </w:rPr>
            </w:pPr>
            <w:r>
              <w:rPr>
                <w:rFonts w:ascii="Times New Roman" w:hAnsi="Times New Roman"/>
                <w:b/>
                <w:i w:val="0"/>
                <w:noProof/>
                <w:color w:val="auto"/>
              </w:rPr>
              <w:t>Prostor spravedlnosti a základních práv založený na vzájemné důvěře: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stanovení požadavků na detekční zařízení v jiných oblastech, než je letectví, na ochranu občanů před teroristickými útoky.</w:t>
            </w:r>
          </w:p>
        </w:tc>
      </w:tr>
    </w:tbl>
    <w:p>
      <w:pPr>
        <w:pStyle w:val="Subtitle"/>
        <w:spacing w:after="0"/>
        <w:jc w:val="both"/>
        <w:rPr>
          <w:b/>
          <w:i w:val="0"/>
          <w:noProof/>
          <w:color w:val="auto"/>
        </w:rPr>
      </w:pPr>
    </w:p>
    <w:tbl>
      <w:tblPr>
        <w:tblW w:w="939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1"/>
      </w:tblGrid>
      <w:tr>
        <w:trPr>
          <w:trHeight w:val="1211"/>
        </w:trPr>
        <w:tc>
          <w:tcPr>
            <w:tcW w:w="9391" w:type="dxa"/>
          </w:tcPr>
          <w:p>
            <w:pPr>
              <w:pStyle w:val="Subtitle"/>
              <w:spacing w:after="120"/>
              <w:ind w:left="306"/>
              <w:jc w:val="both"/>
              <w:rPr>
                <w:rFonts w:ascii="Times New Roman" w:hAnsi="Times New Roman" w:cs="Times New Roman"/>
                <w:b/>
                <w:i w:val="0"/>
                <w:noProof/>
                <w:color w:val="auto"/>
              </w:rPr>
            </w:pPr>
            <w:r>
              <w:rPr>
                <w:rFonts w:ascii="Times New Roman" w:hAnsi="Times New Roman"/>
                <w:b/>
                <w:i w:val="0"/>
                <w:noProof/>
                <w:color w:val="auto"/>
              </w:rPr>
              <w:t>Silnější pozice na mezinárodní scéně: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24"/>
              </w:rPr>
              <w:t>podpora úsilí členských států o rozvoj společných obranných schopností při současné podpoře konkurenceschopné a inovativní průmyslové základny.</w:t>
            </w:r>
          </w:p>
        </w:tc>
      </w:tr>
    </w:tbl>
    <w:p>
      <w:pPr>
        <w:pStyle w:val="Subtitle"/>
        <w:spacing w:after="0"/>
        <w:jc w:val="both"/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1862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54874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A2E"/>
    <w:multiLevelType w:val="hybridMultilevel"/>
    <w:tmpl w:val="F49CB2EC"/>
    <w:lvl w:ilvl="0" w:tplc="0809000B">
      <w:start w:val="1"/>
      <w:numFmt w:val="bullet"/>
      <w:lvlText w:val=""/>
      <w:lvlJc w:val="left"/>
      <w:pPr>
        <w:ind w:left="8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>
    <w:nsid w:val="13974D57"/>
    <w:multiLevelType w:val="hybridMultilevel"/>
    <w:tmpl w:val="B29EFF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E3F59"/>
    <w:multiLevelType w:val="hybridMultilevel"/>
    <w:tmpl w:val="DFB22E88"/>
    <w:lvl w:ilvl="0" w:tplc="08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">
    <w:nsid w:val="25920290"/>
    <w:multiLevelType w:val="hybridMultilevel"/>
    <w:tmpl w:val="0594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D14B4"/>
    <w:multiLevelType w:val="hybridMultilevel"/>
    <w:tmpl w:val="C22A4158"/>
    <w:lvl w:ilvl="0" w:tplc="A7EA7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F5FCC"/>
    <w:multiLevelType w:val="hybridMultilevel"/>
    <w:tmpl w:val="D242AC96"/>
    <w:lvl w:ilvl="0" w:tplc="A7EA7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70615"/>
    <w:multiLevelType w:val="hybridMultilevel"/>
    <w:tmpl w:val="B34AC276"/>
    <w:lvl w:ilvl="0" w:tplc="CAAA8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17345"/>
    <w:multiLevelType w:val="hybridMultilevel"/>
    <w:tmpl w:val="02C8122A"/>
    <w:lvl w:ilvl="0" w:tplc="F2764938">
      <w:start w:val="1"/>
      <w:numFmt w:val="decimal"/>
      <w:lvlText w:val="%1."/>
      <w:lvlJc w:val="left"/>
      <w:pPr>
        <w:ind w:left="889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8">
    <w:nsid w:val="5F3B1582"/>
    <w:multiLevelType w:val="hybridMultilevel"/>
    <w:tmpl w:val="9D148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D4636"/>
    <w:multiLevelType w:val="hybridMultilevel"/>
    <w:tmpl w:val="74B2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12FA4"/>
    <w:multiLevelType w:val="multilevel"/>
    <w:tmpl w:val="980A1EE0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2530"/>
        </w:tabs>
        <w:ind w:left="2530" w:hanging="85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1C85E7A"/>
    <w:multiLevelType w:val="hybridMultilevel"/>
    <w:tmpl w:val="6FE6255A"/>
    <w:lvl w:ilvl="0" w:tplc="7402F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F3F94"/>
    <w:multiLevelType w:val="hybridMultilevel"/>
    <w:tmpl w:val="987E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4308F"/>
    <w:multiLevelType w:val="hybridMultilevel"/>
    <w:tmpl w:val="426EEA4E"/>
    <w:lvl w:ilvl="0" w:tplc="A7EA7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97A62"/>
    <w:multiLevelType w:val="hybridMultilevel"/>
    <w:tmpl w:val="B8287774"/>
    <w:lvl w:ilvl="0" w:tplc="5F50E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0D20103565DF4E9CB52D79E8EF49B8BD"/>
    <w:docVar w:name="LW_CROSSREFERENCE" w:val="{SWD(2017) 284 final}"/>
    <w:docVar w:name="LW_DocType" w:val="NORMAL"/>
    <w:docVar w:name="LW_EMISSION" w:val="25.8.2017"/>
    <w:docVar w:name="LW_EMISSION_ISODATE" w:val="2017-08-25"/>
    <w:docVar w:name="LW_EMISSION_LOCATION" w:val="BRX"/>
    <w:docVar w:name="LW_EMISSION_PREFIX" w:val="V Bruselu dne "/>
    <w:docVar w:name="LW_EMISSION_SUFFIX" w:val=" "/>
    <w:docVar w:name="LW_ID_DOCTYPE_NONLW" w:val="CP-039"/>
    <w:docVar w:name="LW_LANGUE" w:val="CS"/>
    <w:docVar w:name="LW_MARKING" w:val="&lt;UNUSED&gt;"/>
    <w:docVar w:name="LW_NOM.INST" w:val="EVROPSKÁ KOMISE"/>
    <w:docVar w:name="LW_NOM.INST_JOINTDOC" w:val="&lt;EMPTY&gt;"/>
    <w:docVar w:name="LW_OBJETACTEPRINCIPAL.CP" w:val="Ro\u269?ní pracovní program Unie pro oblast evropské normalizace na rok 2018"/>
    <w:docVar w:name="LW_PART_NBR" w:val="1"/>
    <w:docVar w:name="LW_PART_NBR_TOTAL" w:val="1"/>
    <w:docVar w:name="LW_REF.INST.NEW" w:val="COM"/>
    <w:docVar w:name="LW_REF.INST.NEW_ADOPTED" w:val="final"/>
    <w:docVar w:name="LW_REF.INST.NEW_TEXT" w:val="(2017) 453"/>
    <w:docVar w:name="LW_REF.INTERNE" w:val="&lt;UNUSED&gt;"/>
    <w:docVar w:name="LW_SUPERTITRE" w:val="&lt;UNUSED&gt;"/>
    <w:docVar w:name="LW_TITRE.OBJ.CP" w:val="Normy na podporu právních p\u345?edpis\u367? a politik Unie"/>
    <w:docVar w:name="LW_TYPE.DOC.CP" w:val="P\u344?ÍLOHA_x000b_"/>
    <w:docVar w:name="LW_TYPEACTEPRINCIPAL.CP" w:val="SD\u282?LENÍ KOMISE EVROPSKÉMU PARLAMENTU, RAD\u282? A EVROPSKÉMU HOSPODÁ\u344?SKÉMU A SOCIÁLNÍMU VÝBORU A VÝBORU REGION\u366?"/>
    <w:docVar w:name="Stamp" w:val="\\dossiers.dgt.cec.eu.int\dossiers\GROW\GROW-2017-00963\GROW-2017-00963-00-01-EN-REV-00.20170628110750900509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SimSun" w:hAnsi="Times New Roman" w:cs="Times New Roman"/>
      <w:b/>
      <w:bCs/>
      <w:noProof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SimSun" w:hAnsi="Times New Roman" w:cs="Times New Roman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SimSun" w:hAnsi="Times New Roman" w:cs="Times New Roman"/>
      <w:bCs/>
      <w:i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SimSun" w:hAnsi="Times New Roman" w:cs="Times New Roman"/>
      <w:b/>
      <w:bCs/>
      <w:noProof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SimSun" w:hAnsi="Times New Roman" w:cs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SimSun" w:hAnsi="Times New Roman" w:cs="Times New Roman"/>
      <w:bCs/>
      <w:iCs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SimSun" w:hAnsi="Times New Roman" w:cs="Times New Roman"/>
      <w:b/>
      <w:bCs/>
      <w:noProof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SimSun" w:hAnsi="Times New Roman" w:cs="Times New Roman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SimSun" w:hAnsi="Times New Roman" w:cs="Times New Roman"/>
      <w:bCs/>
      <w:i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SimSun" w:hAnsi="Times New Roman" w:cs="Times New Roman"/>
      <w:b/>
      <w:bCs/>
      <w:noProof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SimSun" w:hAnsi="Times New Roman" w:cs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SimSun" w:hAnsi="Times New Roman" w:cs="Times New Roman"/>
      <w:bCs/>
      <w:iCs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E815-63DF-452D-9989-4BC219FD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641</Words>
  <Characters>4170</Characters>
  <Application>Microsoft Office Word</Application>
  <DocSecurity>0</DocSecurity>
  <Lines>81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diamadi</dc:creator>
  <cp:lastModifiedBy>DIGIT/A3</cp:lastModifiedBy>
  <cp:revision>14</cp:revision>
  <dcterms:created xsi:type="dcterms:W3CDTF">2017-07-25T07:49:00Z</dcterms:created>
  <dcterms:modified xsi:type="dcterms:W3CDTF">2017-08-21T08:02:00Z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DocStatus">
    <vt:lpwstr>Green</vt:lpwstr>
  </property>
</Properties>
</file>