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202A85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392D">
        <w:rPr>
          <w:sz w:val="22"/>
          <w:szCs w:val="22"/>
        </w:rPr>
        <w:t xml:space="preserve"> </w:t>
      </w:r>
      <w:r>
        <w:rPr>
          <w:sz w:val="22"/>
          <w:szCs w:val="22"/>
        </w:rPr>
        <w:t>Obecná bezpečnost</w:t>
      </w:r>
    </w:p>
    <w:p w:rsidR="00202A85" w:rsidRDefault="00202A85" w:rsidP="000E330A">
      <w:pPr>
        <w:spacing w:before="240"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  Normy</w:t>
      </w:r>
      <w:proofErr w:type="gramEnd"/>
      <w:r>
        <w:rPr>
          <w:sz w:val="22"/>
          <w:szCs w:val="22"/>
        </w:rPr>
        <w:t xml:space="preserve"> pro bezpečnost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8B12FD">
        <w:rPr>
          <w:sz w:val="22"/>
          <w:szCs w:val="22"/>
        </w:rPr>
        <w:t>4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ISO norma 10 377 - Bezpečnost spotřebních výrobků – Směrnice pro dodavatele 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Kabinet pro standardizaci zpracovával pro ÚNMZ překlad a zavedení ISO normy do systému českých technických norem (rok 2013). Projednávání této nové ISO normy před tím Kabinet zajišťoval za ČR i v PS ISO 243. K nahlédnutí </w:t>
      </w:r>
      <w:hyperlink r:id="rId9" w:tooltip="https://csnonline.unmz.cz/Vysledky.aspx#" w:history="1">
        <w:proofErr w:type="gramStart"/>
        <w:r w:rsidRPr="008B12FD">
          <w:rPr>
            <w:sz w:val="22"/>
            <w:szCs w:val="22"/>
          </w:rPr>
          <w:t>Zde</w:t>
        </w:r>
      </w:hyperlink>
      <w:r w:rsidRPr="008B12FD">
        <w:rPr>
          <w:sz w:val="22"/>
          <w:szCs w:val="22"/>
        </w:rPr>
        <w:t> . (Září</w:t>
      </w:r>
      <w:proofErr w:type="gramEnd"/>
      <w:r w:rsidRPr="008B12FD">
        <w:rPr>
          <w:sz w:val="22"/>
          <w:szCs w:val="22"/>
        </w:rPr>
        <w:t xml:space="preserve"> 2014)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ISO/IEC Pokyn 51 - Bezpečnostní hlediska - Pokyny pro jejich začlenění do norem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Kabinet pro standardizaci zpracovává pro ÚNMZ překlad a zavedení ISO normy do systému českých technických norem formou technické normalizační informace (rok 2014-15). Projednávání této nové ISO normy před tím Kabinet a Sdružení účastnily v rámci mezinárodních, evropských i národních struktur. 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Norma poskytuje praktické pokyny pro zpracovatele technických norem z hlediska zohledňování všeobecných bezpečnostních hledisek na výrobky, případně na související služby. Pokyn má tedy význam pro všechny zainteresované strany při tvorbě i při aplikaci norem.  (Listopad 2014)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ISO/IEC Pokyn 50 - Bezpečnostní hlediska - Instrukce pro bezpečnost dětí v normách a jiných specifikacích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V ISO je vyvíjena revidovaná verze pokynu. Poslední předložené znění sekretariátem ISO bylo prakticky plně v souladu s představami SČS a Kabinetu a Úřadu pro normalizaci bylo doporučeno neuplatňovat žádné připomínky k textu. ANEC posléze uplatnil drobnou připomínku k upřesnění dostupnosti návodů k použití. Na základě své odborné analýzy SČS považuje Pokyn za velmi důležitý z hlediska zajištění bezpečnosti dětí. Po jeho vydání uplatníme požadavek na ÚNMZ k zajištění české verze. (Poslední aktualizace: Listopad 2014).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>ISO/IEC Pokyn 71 - Instrukce pro zohlednění přístupnosti v normách</w:t>
      </w:r>
    </w:p>
    <w:p w:rsidR="008B12FD" w:rsidRPr="008B12FD" w:rsidRDefault="008B12FD" w:rsidP="008B12FD">
      <w:pPr>
        <w:spacing w:before="240" w:after="120"/>
        <w:jc w:val="both"/>
        <w:rPr>
          <w:sz w:val="22"/>
          <w:szCs w:val="22"/>
        </w:rPr>
      </w:pPr>
      <w:r w:rsidRPr="008B12FD">
        <w:rPr>
          <w:sz w:val="22"/>
          <w:szCs w:val="22"/>
        </w:rPr>
        <w:t xml:space="preserve">V roce 2014 byla dokončena revize tohoto dokumentu, za spoluúčasti ANEC a SČS. SČS bude žádat o zahrnutí do plánu pro rok 2015 k </w:t>
      </w:r>
      <w:proofErr w:type="gramStart"/>
      <w:r w:rsidRPr="008B12FD">
        <w:rPr>
          <w:sz w:val="22"/>
          <w:szCs w:val="22"/>
        </w:rPr>
        <w:t>zavedení jako</w:t>
      </w:r>
      <w:proofErr w:type="gramEnd"/>
      <w:r w:rsidRPr="008B12FD">
        <w:rPr>
          <w:sz w:val="22"/>
          <w:szCs w:val="22"/>
        </w:rPr>
        <w:t xml:space="preserve"> TNI do soustavy českých norem.</w:t>
      </w:r>
    </w:p>
    <w:p w:rsidR="00631BCE" w:rsidRDefault="00631BCE" w:rsidP="009360CB">
      <w:pPr>
        <w:spacing w:after="120"/>
        <w:jc w:val="both"/>
        <w:rPr>
          <w:sz w:val="22"/>
          <w:szCs w:val="22"/>
        </w:rPr>
      </w:pPr>
    </w:p>
    <w:p w:rsidR="00C62AAE" w:rsidRPr="00631BCE" w:rsidRDefault="008B12FD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Říjen</w:t>
      </w:r>
      <w:r w:rsidRPr="008D516D">
        <w:rPr>
          <w:sz w:val="20"/>
          <w:szCs w:val="20"/>
        </w:rPr>
        <w:t xml:space="preserve"> </w:t>
      </w:r>
      <w:r w:rsidR="00631BCE" w:rsidRPr="008D516D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="00631BCE" w:rsidRPr="008D516D">
        <w:rPr>
          <w:sz w:val="20"/>
          <w:szCs w:val="20"/>
        </w:rPr>
        <w:t>, Dupal</w:t>
      </w:r>
      <w:r w:rsidR="00BB07A6">
        <w:rPr>
          <w:sz w:val="22"/>
          <w:szCs w:val="22"/>
        </w:rPr>
        <w:tab/>
      </w:r>
      <w:bookmarkStart w:id="0" w:name="_GoBack"/>
      <w:bookmarkEnd w:id="0"/>
    </w:p>
    <w:sectPr w:rsidR="00C62AAE" w:rsidRPr="00631BCE" w:rsidSect="00CA4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E1" w:rsidRDefault="00BE70E1">
      <w:r>
        <w:separator/>
      </w:r>
    </w:p>
  </w:endnote>
  <w:endnote w:type="continuationSeparator" w:id="0">
    <w:p w:rsidR="00BE70E1" w:rsidRDefault="00B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12FD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BE70E1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E1" w:rsidRDefault="00BE70E1">
      <w:r>
        <w:separator/>
      </w:r>
    </w:p>
  </w:footnote>
  <w:footnote w:type="continuationSeparator" w:id="0">
    <w:p w:rsidR="00BE70E1" w:rsidRDefault="00BE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15"/>
  </w:num>
  <w:num w:numId="7">
    <w:abstractNumId w:val="7"/>
  </w:num>
  <w:num w:numId="8">
    <w:abstractNumId w:val="27"/>
  </w:num>
  <w:num w:numId="9">
    <w:abstractNumId w:val="25"/>
  </w:num>
  <w:num w:numId="10">
    <w:abstractNumId w:val="4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4"/>
  </w:num>
  <w:num w:numId="19">
    <w:abstractNumId w:val="20"/>
  </w:num>
  <w:num w:numId="20">
    <w:abstractNumId w:val="8"/>
  </w:num>
  <w:num w:numId="21">
    <w:abstractNumId w:val="10"/>
  </w:num>
  <w:num w:numId="22">
    <w:abstractNumId w:val="21"/>
  </w:num>
  <w:num w:numId="23">
    <w:abstractNumId w:val="17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02A85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35F0"/>
    <w:rsid w:val="00815610"/>
    <w:rsid w:val="00876265"/>
    <w:rsid w:val="0089064E"/>
    <w:rsid w:val="008A3042"/>
    <w:rsid w:val="008B12FD"/>
    <w:rsid w:val="008B184C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448D"/>
    <w:rsid w:val="00BE61FF"/>
    <w:rsid w:val="00BE70E1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C02FD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A5D47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B12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B1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nonline.unmz.cz/Vysledk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2107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2016-02-09T12:15:00Z</dcterms:created>
  <dcterms:modified xsi:type="dcterms:W3CDTF">2016-02-09T12:16:00Z</dcterms:modified>
</cp:coreProperties>
</file>