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EA" w:rsidRDefault="00DD73EA" w:rsidP="007834F9">
      <w:pPr>
        <w:pStyle w:val="COVERTITLE"/>
      </w:pPr>
    </w:p>
    <w:p w:rsidR="00DD73EA" w:rsidRDefault="00DD73EA" w:rsidP="007834F9">
      <w:pPr>
        <w:pStyle w:val="COVERTITLE"/>
      </w:pPr>
    </w:p>
    <w:p w:rsidR="00DD73EA" w:rsidRDefault="00DD73EA" w:rsidP="007834F9">
      <w:pPr>
        <w:pStyle w:val="COVERTITLE"/>
      </w:pPr>
    </w:p>
    <w:p w:rsidR="00B92CA2" w:rsidRPr="00A54260" w:rsidRDefault="00B92CA2" w:rsidP="007834F9">
      <w:pPr>
        <w:pStyle w:val="COVERTITLE"/>
      </w:pPr>
      <w:r>
        <w:t xml:space="preserve">Regulatory Fitness Check of Chemicals Legislation except REACH – A consumer view </w:t>
      </w: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730944" w:rsidRDefault="00730944" w:rsidP="00B92CA2">
      <w:pPr>
        <w:spacing w:after="120"/>
        <w:rPr>
          <w:b/>
          <w:color w:val="003F6F"/>
          <w:sz w:val="22"/>
          <w:szCs w:val="22"/>
          <w:lang w:val="en-US"/>
        </w:rPr>
      </w:pPr>
    </w:p>
    <w:p w:rsidR="00A966A7" w:rsidRDefault="00A966A7">
      <w:pPr>
        <w:ind w:left="714" w:hanging="357"/>
        <w:rPr>
          <w:b/>
          <w:color w:val="003F6F"/>
          <w:sz w:val="22"/>
          <w:szCs w:val="22"/>
          <w:lang w:val="en-US"/>
        </w:rPr>
      </w:pPr>
      <w:r>
        <w:rPr>
          <w:b/>
          <w:color w:val="003F6F"/>
          <w:sz w:val="22"/>
          <w:szCs w:val="22"/>
          <w:lang w:val="en-US"/>
        </w:rPr>
        <w:br w:type="page"/>
      </w:r>
    </w:p>
    <w:p w:rsidR="008B595B" w:rsidRDefault="008B595B" w:rsidP="00252D12">
      <w:pPr>
        <w:pBdr>
          <w:top w:val="single" w:sz="4" w:space="18" w:color="E0F2F8"/>
          <w:left w:val="single" w:sz="4" w:space="8" w:color="E0F2F8"/>
          <w:bottom w:val="single" w:sz="4" w:space="0" w:color="E0F2F8"/>
          <w:right w:val="single" w:sz="4" w:space="8" w:color="E0F2F8"/>
        </w:pBdr>
        <w:shd w:val="clear" w:color="auto" w:fill="E0F2F8"/>
        <w:spacing w:after="240"/>
        <w:rPr>
          <w:color w:val="003F6F"/>
          <w:sz w:val="32"/>
          <w:szCs w:val="22"/>
        </w:rPr>
      </w:pPr>
      <w:r w:rsidRPr="008B595B">
        <w:rPr>
          <w:color w:val="003F6F"/>
          <w:sz w:val="32"/>
          <w:szCs w:val="22"/>
        </w:rPr>
        <w:lastRenderedPageBreak/>
        <w:t>Why it matters to consumers</w:t>
      </w:r>
    </w:p>
    <w:p w:rsidR="008B595B" w:rsidRDefault="000000F4" w:rsidP="00252D12">
      <w:pPr>
        <w:pBdr>
          <w:top w:val="single" w:sz="4" w:space="18" w:color="E0F2F8"/>
          <w:left w:val="single" w:sz="4" w:space="8" w:color="E0F2F8"/>
          <w:bottom w:val="single" w:sz="4" w:space="0" w:color="E0F2F8"/>
          <w:right w:val="single" w:sz="4" w:space="8" w:color="E0F2F8"/>
        </w:pBdr>
        <w:shd w:val="clear" w:color="auto" w:fill="E0F2F8"/>
        <w:rPr>
          <w:color w:val="003F6F"/>
        </w:rPr>
      </w:pPr>
      <w:r>
        <w:rPr>
          <w:color w:val="003F6F"/>
        </w:rPr>
        <w:t xml:space="preserve">Consumers have </w:t>
      </w:r>
      <w:r w:rsidR="00541150">
        <w:rPr>
          <w:color w:val="003F6F"/>
        </w:rPr>
        <w:t xml:space="preserve">a right to expect </w:t>
      </w:r>
      <w:r>
        <w:rPr>
          <w:color w:val="003F6F"/>
        </w:rPr>
        <w:t xml:space="preserve">that the products they use do not contain </w:t>
      </w:r>
      <w:r w:rsidR="00541150">
        <w:rPr>
          <w:color w:val="003F6F"/>
        </w:rPr>
        <w:t>chemicals</w:t>
      </w:r>
      <w:r w:rsidR="0026758D">
        <w:rPr>
          <w:color w:val="003F6F"/>
        </w:rPr>
        <w:t xml:space="preserve"> which </w:t>
      </w:r>
      <w:r w:rsidR="00252D12">
        <w:rPr>
          <w:color w:val="003F6F"/>
        </w:rPr>
        <w:t xml:space="preserve">could </w:t>
      </w:r>
      <w:r w:rsidR="0026758D">
        <w:rPr>
          <w:color w:val="003F6F"/>
        </w:rPr>
        <w:t>pose a threat to their health and safety.</w:t>
      </w:r>
      <w:r>
        <w:rPr>
          <w:color w:val="003F6F"/>
        </w:rPr>
        <w:t xml:space="preserve"> </w:t>
      </w:r>
      <w:r w:rsidR="00541150">
        <w:rPr>
          <w:color w:val="003F6F"/>
        </w:rPr>
        <w:t>Over the past 50 years, t</w:t>
      </w:r>
      <w:r>
        <w:rPr>
          <w:color w:val="003F6F"/>
        </w:rPr>
        <w:t xml:space="preserve">he EU has put </w:t>
      </w:r>
      <w:r w:rsidR="004C248F">
        <w:rPr>
          <w:color w:val="003F6F"/>
        </w:rPr>
        <w:t xml:space="preserve">in place </w:t>
      </w:r>
      <w:r>
        <w:rPr>
          <w:color w:val="003F6F"/>
        </w:rPr>
        <w:t>a</w:t>
      </w:r>
      <w:r w:rsidR="004C248F">
        <w:rPr>
          <w:color w:val="003F6F"/>
        </w:rPr>
        <w:t xml:space="preserve"> broad </w:t>
      </w:r>
      <w:r>
        <w:rPr>
          <w:color w:val="003F6F"/>
        </w:rPr>
        <w:t>legislative framework to protect consumers from chemical risks in food, drinking water and consumer products. The E</w:t>
      </w:r>
      <w:r w:rsidR="004C248F">
        <w:rPr>
          <w:color w:val="003F6F"/>
        </w:rPr>
        <w:t xml:space="preserve">uropean Commission </w:t>
      </w:r>
      <w:r>
        <w:rPr>
          <w:color w:val="003F6F"/>
        </w:rPr>
        <w:t>is currently consulting the public</w:t>
      </w:r>
      <w:r w:rsidR="004C248F">
        <w:rPr>
          <w:color w:val="003F6F"/>
        </w:rPr>
        <w:t xml:space="preserve"> on</w:t>
      </w:r>
      <w:r>
        <w:rPr>
          <w:color w:val="003F6F"/>
        </w:rPr>
        <w:t xml:space="preserve"> whether this </w:t>
      </w:r>
      <w:r w:rsidR="004C248F">
        <w:rPr>
          <w:color w:val="003F6F"/>
        </w:rPr>
        <w:t xml:space="preserve">important </w:t>
      </w:r>
      <w:r>
        <w:rPr>
          <w:color w:val="003F6F"/>
        </w:rPr>
        <w:t xml:space="preserve">legislative framework </w:t>
      </w:r>
      <w:r w:rsidR="00252D12">
        <w:rPr>
          <w:color w:val="003F6F"/>
        </w:rPr>
        <w:t xml:space="preserve">performs </w:t>
      </w:r>
      <w:r w:rsidR="004C248F">
        <w:rPr>
          <w:color w:val="003F6F"/>
        </w:rPr>
        <w:t>as intended or if shortcomings can be identified</w:t>
      </w:r>
      <w:r>
        <w:rPr>
          <w:color w:val="003F6F"/>
        </w:rPr>
        <w:t xml:space="preserve">. </w:t>
      </w:r>
      <w:r w:rsidR="004C248F">
        <w:rPr>
          <w:color w:val="003F6F"/>
        </w:rPr>
        <w:t xml:space="preserve">ANEC and BEUC </w:t>
      </w:r>
      <w:r>
        <w:rPr>
          <w:color w:val="003F6F"/>
        </w:rPr>
        <w:t xml:space="preserve">are concerned that this exercise </w:t>
      </w:r>
      <w:r w:rsidR="00252D12">
        <w:rPr>
          <w:color w:val="003F6F"/>
        </w:rPr>
        <w:t>could weaken</w:t>
      </w:r>
      <w:r w:rsidR="004C248F">
        <w:rPr>
          <w:color w:val="003F6F"/>
        </w:rPr>
        <w:t xml:space="preserve"> </w:t>
      </w:r>
      <w:r w:rsidR="00391CD4">
        <w:rPr>
          <w:color w:val="003F6F"/>
        </w:rPr>
        <w:t>vital</w:t>
      </w:r>
      <w:r>
        <w:rPr>
          <w:color w:val="003F6F"/>
        </w:rPr>
        <w:t xml:space="preserve"> legislative provisions that </w:t>
      </w:r>
      <w:r w:rsidR="004C248F">
        <w:rPr>
          <w:color w:val="003F6F"/>
        </w:rPr>
        <w:t xml:space="preserve">exist </w:t>
      </w:r>
      <w:r>
        <w:rPr>
          <w:color w:val="003F6F"/>
        </w:rPr>
        <w:t xml:space="preserve">to protect consumers, workers and the environment.  </w:t>
      </w:r>
    </w:p>
    <w:p w:rsidR="00252D12" w:rsidRDefault="00252D12" w:rsidP="00252D12">
      <w:pPr>
        <w:pBdr>
          <w:top w:val="single" w:sz="4" w:space="18" w:color="E0F2F8"/>
          <w:left w:val="single" w:sz="4" w:space="8" w:color="E0F2F8"/>
          <w:bottom w:val="single" w:sz="4" w:space="0" w:color="E0F2F8"/>
          <w:right w:val="single" w:sz="4" w:space="8" w:color="E0F2F8"/>
        </w:pBdr>
        <w:shd w:val="clear" w:color="auto" w:fill="E0F2F8"/>
      </w:pPr>
    </w:p>
    <w:p w:rsidR="008B595B" w:rsidRPr="008B595B" w:rsidRDefault="008B595B" w:rsidP="00AA1D30"/>
    <w:p w:rsidR="0026758D" w:rsidRDefault="0026758D" w:rsidP="0026758D"/>
    <w:p w:rsidR="000B0D41" w:rsidRPr="000033C3" w:rsidRDefault="000033C3" w:rsidP="00AA1D30">
      <w:pPr>
        <w:pBdr>
          <w:bottom w:val="single" w:sz="4" w:space="16" w:color="95A316"/>
        </w:pBdr>
        <w:spacing w:after="400"/>
        <w:rPr>
          <w:color w:val="003F6F"/>
          <w:sz w:val="32"/>
        </w:rPr>
      </w:pPr>
      <w:r w:rsidRPr="000033C3">
        <w:rPr>
          <w:color w:val="003F6F"/>
          <w:sz w:val="32"/>
        </w:rPr>
        <w:t>Summary</w:t>
      </w:r>
    </w:p>
    <w:p w:rsidR="000C48F4" w:rsidRPr="00894BDD" w:rsidRDefault="00526E39" w:rsidP="000C48F4">
      <w:pPr>
        <w:spacing w:after="160" w:line="259" w:lineRule="auto"/>
        <w:rPr>
          <w:rFonts w:eastAsia="Calibri"/>
        </w:rPr>
      </w:pPr>
      <w:r>
        <w:rPr>
          <w:rFonts w:eastAsia="Calibri"/>
        </w:rPr>
        <w:t xml:space="preserve">Assessing whether existing EU legislation is fit to protect </w:t>
      </w:r>
      <w:r w:rsidRPr="00894BDD">
        <w:rPr>
          <w:rFonts w:eastAsia="Calibri"/>
        </w:rPr>
        <w:t>consumer</w:t>
      </w:r>
      <w:r>
        <w:rPr>
          <w:rFonts w:eastAsia="Calibri"/>
        </w:rPr>
        <w:t xml:space="preserve">s from </w:t>
      </w:r>
      <w:r w:rsidRPr="00894BDD">
        <w:rPr>
          <w:rFonts w:eastAsia="Calibri"/>
        </w:rPr>
        <w:t xml:space="preserve">harmful chemicals should be </w:t>
      </w:r>
      <w:r>
        <w:rPr>
          <w:rFonts w:eastAsia="Calibri"/>
        </w:rPr>
        <w:t>at the heart of th</w:t>
      </w:r>
      <w:r w:rsidR="008E3B15">
        <w:rPr>
          <w:rFonts w:eastAsia="Calibri"/>
        </w:rPr>
        <w:t xml:space="preserve">e fitness check of EU chemicals legislation. </w:t>
      </w:r>
      <w:r>
        <w:rPr>
          <w:rFonts w:eastAsia="Calibri"/>
        </w:rPr>
        <w:t>T</w:t>
      </w:r>
      <w:r w:rsidR="008E3B15">
        <w:rPr>
          <w:rFonts w:eastAsia="Calibri"/>
        </w:rPr>
        <w:t xml:space="preserve">his exercise could therefore, </w:t>
      </w:r>
      <w:r w:rsidR="000C48F4" w:rsidRPr="00894BDD">
        <w:rPr>
          <w:rFonts w:eastAsia="Calibri"/>
        </w:rPr>
        <w:t xml:space="preserve">in theory, offer an opportunity to address shortcomings in </w:t>
      </w:r>
      <w:r w:rsidR="00FA0576">
        <w:rPr>
          <w:rFonts w:eastAsia="Calibri"/>
        </w:rPr>
        <w:t xml:space="preserve">the </w:t>
      </w:r>
      <w:r w:rsidR="000C48F4" w:rsidRPr="00894BDD">
        <w:rPr>
          <w:rFonts w:eastAsia="Calibri"/>
        </w:rPr>
        <w:t>legislative framework</w:t>
      </w:r>
      <w:r w:rsidR="00FA0576">
        <w:rPr>
          <w:rFonts w:eastAsia="Calibri"/>
        </w:rPr>
        <w:t>,</w:t>
      </w:r>
      <w:r w:rsidR="009B31CC">
        <w:rPr>
          <w:rFonts w:eastAsia="Calibri"/>
        </w:rPr>
        <w:t xml:space="preserve"> </w:t>
      </w:r>
      <w:r w:rsidR="009B429D">
        <w:rPr>
          <w:rFonts w:eastAsia="Calibri"/>
        </w:rPr>
        <w:t>especially with respect to</w:t>
      </w:r>
      <w:r w:rsidR="009B429D" w:rsidRPr="00FA0576">
        <w:rPr>
          <w:rFonts w:eastAsia="Calibri"/>
        </w:rPr>
        <w:t xml:space="preserve"> </w:t>
      </w:r>
      <w:r w:rsidR="009B31CC" w:rsidRPr="00FA0576">
        <w:rPr>
          <w:rFonts w:eastAsia="Calibri"/>
        </w:rPr>
        <w:t>chemicals in consumer products</w:t>
      </w:r>
      <w:r w:rsidR="000C48F4" w:rsidRPr="00894BDD">
        <w:rPr>
          <w:rFonts w:eastAsia="Calibri"/>
        </w:rPr>
        <w:t xml:space="preserve">. </w:t>
      </w:r>
    </w:p>
    <w:p w:rsidR="000C48F4" w:rsidRPr="00894BDD" w:rsidRDefault="000C48F4" w:rsidP="000C48F4">
      <w:pPr>
        <w:spacing w:after="160" w:line="259" w:lineRule="auto"/>
        <w:rPr>
          <w:rFonts w:eastAsia="Calibri"/>
        </w:rPr>
      </w:pPr>
      <w:r w:rsidRPr="00894BDD">
        <w:rPr>
          <w:rFonts w:eastAsia="Calibri"/>
        </w:rPr>
        <w:t xml:space="preserve">Regrettably, the fitness check suffers from a clear and unequivocal bias towards industry views and interests. </w:t>
      </w:r>
      <w:r>
        <w:rPr>
          <w:rFonts w:eastAsia="Calibri"/>
        </w:rPr>
        <w:t xml:space="preserve">As </w:t>
      </w:r>
      <w:r w:rsidRPr="00894BDD">
        <w:rPr>
          <w:rFonts w:eastAsia="Calibri"/>
        </w:rPr>
        <w:t xml:space="preserve">designed by the Commission, the fitness check will fail to produce a </w:t>
      </w:r>
      <w:r w:rsidR="009B429D">
        <w:rPr>
          <w:rFonts w:eastAsia="Calibri"/>
        </w:rPr>
        <w:t>balanced</w:t>
      </w:r>
      <w:r w:rsidRPr="00894BDD">
        <w:rPr>
          <w:rFonts w:eastAsia="Calibri"/>
        </w:rPr>
        <w:t>, quality assessment of the legislative framework governing chemicals</w:t>
      </w:r>
      <w:r>
        <w:rPr>
          <w:rFonts w:eastAsia="Calibri"/>
        </w:rPr>
        <w:t xml:space="preserve">. </w:t>
      </w:r>
      <w:r w:rsidR="009B31CC" w:rsidRPr="00FA0576">
        <w:rPr>
          <w:rFonts w:eastAsia="Calibri"/>
        </w:rPr>
        <w:t xml:space="preserve">This holds true in particular for the significant gaps and inadequate chemical provisions in product regulations which </w:t>
      </w:r>
      <w:r w:rsidR="0013663B" w:rsidRPr="00FA0576">
        <w:rPr>
          <w:rFonts w:eastAsia="Calibri"/>
        </w:rPr>
        <w:t>need to be addressed as a matter of priority</w:t>
      </w:r>
      <w:r w:rsidR="009B31CC">
        <w:rPr>
          <w:rFonts w:eastAsia="Calibri"/>
        </w:rPr>
        <w:t xml:space="preserve">. </w:t>
      </w:r>
      <w:r>
        <w:rPr>
          <w:rFonts w:eastAsia="Calibri"/>
        </w:rPr>
        <w:t xml:space="preserve">We therefore strongly caution against using </w:t>
      </w:r>
      <w:r w:rsidR="009B429D">
        <w:rPr>
          <w:rFonts w:eastAsia="Calibri"/>
        </w:rPr>
        <w:t xml:space="preserve">the </w:t>
      </w:r>
      <w:r>
        <w:rPr>
          <w:rFonts w:eastAsia="Calibri"/>
        </w:rPr>
        <w:t xml:space="preserve">results </w:t>
      </w:r>
      <w:r w:rsidR="009B429D">
        <w:rPr>
          <w:rFonts w:eastAsia="Calibri"/>
        </w:rPr>
        <w:t xml:space="preserve">of the fitness check </w:t>
      </w:r>
      <w:r w:rsidRPr="00894BDD">
        <w:rPr>
          <w:rFonts w:eastAsia="Calibri"/>
        </w:rPr>
        <w:t xml:space="preserve">to guide decisions on the future course of EU chemicals policy. </w:t>
      </w:r>
    </w:p>
    <w:p w:rsidR="009B31CC" w:rsidRPr="00894BDD" w:rsidRDefault="008E3B15" w:rsidP="000C48F4">
      <w:pPr>
        <w:spacing w:after="160" w:line="259" w:lineRule="auto"/>
        <w:rPr>
          <w:rFonts w:eastAsia="Calibri"/>
        </w:rPr>
      </w:pPr>
      <w:r>
        <w:rPr>
          <w:rFonts w:eastAsia="Calibri"/>
        </w:rPr>
        <w:t>T</w:t>
      </w:r>
      <w:r w:rsidR="000C48F4" w:rsidRPr="00894BDD">
        <w:rPr>
          <w:rFonts w:eastAsia="Calibri"/>
        </w:rPr>
        <w:t xml:space="preserve">he fitness check will fail to provide a </w:t>
      </w:r>
      <w:r w:rsidR="000C48F4">
        <w:rPr>
          <w:rFonts w:eastAsia="Calibri"/>
        </w:rPr>
        <w:t>sound</w:t>
      </w:r>
      <w:r w:rsidR="000C48F4" w:rsidRPr="00894BDD">
        <w:rPr>
          <w:rFonts w:eastAsia="Calibri"/>
        </w:rPr>
        <w:t xml:space="preserve"> view of the EU chemicals </w:t>
      </w:r>
      <w:r w:rsidR="000C48F4" w:rsidRPr="00894BDD">
        <w:rPr>
          <w:rFonts w:eastAsia="Calibri"/>
          <w:i/>
          <w:iCs/>
        </w:rPr>
        <w:t>acquis</w:t>
      </w:r>
      <w:r w:rsidR="000C48F4" w:rsidRPr="00894BDD">
        <w:rPr>
          <w:rFonts w:eastAsia="Calibri"/>
        </w:rPr>
        <w:t xml:space="preserve">, its implementation and its functioning, which can feed into the Commission’s work on a strategy for a non-toxic environment. </w:t>
      </w:r>
      <w:r>
        <w:rPr>
          <w:rFonts w:eastAsia="Calibri"/>
        </w:rPr>
        <w:t>Instead, t</w:t>
      </w:r>
      <w:r w:rsidR="000C48F4" w:rsidRPr="00894BDD">
        <w:rPr>
          <w:rFonts w:eastAsia="Calibri"/>
        </w:rPr>
        <w:t xml:space="preserve">he unbalanced </w:t>
      </w:r>
      <w:r>
        <w:rPr>
          <w:rFonts w:eastAsia="Calibri"/>
        </w:rPr>
        <w:t>focus</w:t>
      </w:r>
      <w:r w:rsidRPr="00894BDD">
        <w:rPr>
          <w:rFonts w:eastAsia="Calibri"/>
        </w:rPr>
        <w:t xml:space="preserve"> </w:t>
      </w:r>
      <w:r w:rsidR="000C48F4" w:rsidRPr="00894BDD">
        <w:rPr>
          <w:rFonts w:eastAsia="Calibri"/>
        </w:rPr>
        <w:t>on regulatory costs will divert attention from a progress</w:t>
      </w:r>
      <w:r>
        <w:rPr>
          <w:rFonts w:eastAsia="Calibri"/>
        </w:rPr>
        <w:t>ive</w:t>
      </w:r>
      <w:r w:rsidR="000C48F4" w:rsidRPr="00894BDD">
        <w:rPr>
          <w:rFonts w:eastAsia="Calibri"/>
        </w:rPr>
        <w:t xml:space="preserve"> agenda on regulating chemicals of concern in consumer products. </w:t>
      </w:r>
    </w:p>
    <w:p w:rsidR="00BA777F" w:rsidRDefault="00BA777F" w:rsidP="00AA1D30"/>
    <w:p w:rsidR="003067DB" w:rsidRDefault="005C3DCB" w:rsidP="00AA1D30">
      <w:pPr>
        <w:pStyle w:val="Heading1"/>
      </w:pPr>
      <w:r>
        <w:br w:type="page"/>
      </w:r>
      <w:r w:rsidR="003067DB">
        <w:lastRenderedPageBreak/>
        <w:t xml:space="preserve">Introduction </w:t>
      </w:r>
    </w:p>
    <w:p w:rsidR="00894BDD" w:rsidRPr="00894BDD" w:rsidRDefault="00894BDD" w:rsidP="00AA1D30">
      <w:pPr>
        <w:spacing w:after="160" w:line="259" w:lineRule="auto"/>
        <w:rPr>
          <w:rFonts w:eastAsia="Calibri"/>
        </w:rPr>
      </w:pPr>
      <w:r w:rsidRPr="00894BDD">
        <w:rPr>
          <w:rFonts w:eastAsia="Calibri"/>
        </w:rPr>
        <w:t>The European Commission has announced a regulatory fitness check of EU’s chemicals and chemicals-related legislation excluding the REACH Regulation. According to the Commission, the “aim of this particular fitness check is to assess whether the current legislative framework for chemicals is fit for purpose and delivers as intended/expected.”</w:t>
      </w:r>
      <w:r w:rsidRPr="00894BDD">
        <w:rPr>
          <w:rFonts w:eastAsia="Calibri"/>
          <w:vertAlign w:val="superscript"/>
        </w:rPr>
        <w:footnoteReference w:id="1"/>
      </w:r>
      <w:r w:rsidR="00F8600B">
        <w:rPr>
          <w:rFonts w:eastAsia="Calibri"/>
        </w:rPr>
        <w:t xml:space="preserve"> </w:t>
      </w:r>
      <w:r w:rsidRPr="00894BDD">
        <w:rPr>
          <w:rFonts w:eastAsia="Calibri"/>
        </w:rPr>
        <w:t xml:space="preserve">The results of the fitness check are expected by </w:t>
      </w:r>
      <w:r w:rsidR="00A37EBA">
        <w:rPr>
          <w:rFonts w:eastAsia="Calibri"/>
        </w:rPr>
        <w:t xml:space="preserve">end of </w:t>
      </w:r>
      <w:r w:rsidRPr="00894BDD">
        <w:rPr>
          <w:rFonts w:eastAsia="Calibri"/>
        </w:rPr>
        <w:t xml:space="preserve">2017. </w:t>
      </w:r>
    </w:p>
    <w:p w:rsidR="00894BDD" w:rsidRPr="00894BDD" w:rsidRDefault="00894BDD" w:rsidP="00AA1D30">
      <w:pPr>
        <w:spacing w:after="160" w:line="259" w:lineRule="auto"/>
        <w:rPr>
          <w:rFonts w:eastAsia="Calibri"/>
        </w:rPr>
      </w:pPr>
      <w:r w:rsidRPr="00894BDD">
        <w:rPr>
          <w:rFonts w:eastAsia="Calibri"/>
        </w:rPr>
        <w:t xml:space="preserve">As a part of the fitness check, the </w:t>
      </w:r>
      <w:r w:rsidRPr="00F8600B">
        <w:rPr>
          <w:rFonts w:eastAsia="Calibri"/>
          <w:b/>
        </w:rPr>
        <w:t>Commission is consulting stakeholders on the functioning of the legislative framework for chemicals (</w:t>
      </w:r>
      <w:r w:rsidR="00F8600B">
        <w:rPr>
          <w:rFonts w:eastAsia="Calibri"/>
          <w:b/>
        </w:rPr>
        <w:t xml:space="preserve">except </w:t>
      </w:r>
      <w:r w:rsidRPr="00F8600B">
        <w:rPr>
          <w:rFonts w:eastAsia="Calibri"/>
          <w:b/>
        </w:rPr>
        <w:t>REACH)</w:t>
      </w:r>
      <w:r w:rsidRPr="00894BDD">
        <w:rPr>
          <w:rFonts w:eastAsia="Calibri"/>
        </w:rPr>
        <w:t>.</w:t>
      </w:r>
      <w:r w:rsidRPr="00894BDD">
        <w:rPr>
          <w:rFonts w:eastAsia="Calibri"/>
          <w:vertAlign w:val="superscript"/>
        </w:rPr>
        <w:footnoteReference w:id="2"/>
      </w:r>
      <w:r w:rsidRPr="00894BDD">
        <w:rPr>
          <w:rFonts w:eastAsia="Calibri"/>
        </w:rPr>
        <w:t xml:space="preserve">  The consultation is meant to inform the Commission Staff Working Document, presenting the results of the fitness check.</w:t>
      </w:r>
    </w:p>
    <w:p w:rsidR="00894BDD" w:rsidRDefault="00F8600B" w:rsidP="00AA1D30">
      <w:pPr>
        <w:spacing w:after="160" w:line="259" w:lineRule="auto"/>
        <w:rPr>
          <w:rFonts w:eastAsia="Calibri"/>
        </w:rPr>
      </w:pPr>
      <w:r>
        <w:rPr>
          <w:rFonts w:eastAsia="Calibri"/>
        </w:rPr>
        <w:t>Combined with our response to the public consultation (see annex), this joint ANEC and BEUC position paper outlines our view of</w:t>
      </w:r>
      <w:r w:rsidR="00894BDD" w:rsidRPr="00894BDD">
        <w:rPr>
          <w:rFonts w:eastAsia="Calibri"/>
        </w:rPr>
        <w:t xml:space="preserve"> the Commission fitness check of EU chemicals legislation.</w:t>
      </w:r>
    </w:p>
    <w:p w:rsidR="00894BDD" w:rsidRDefault="00894BDD" w:rsidP="00AA1D30"/>
    <w:p w:rsidR="00894BDD" w:rsidRPr="00141DA3" w:rsidRDefault="0026758D" w:rsidP="00141DA3">
      <w:pPr>
        <w:pStyle w:val="Heading1"/>
        <w:rPr>
          <w:rFonts w:eastAsiaTheme="minorHAnsi"/>
          <w:b w:val="0"/>
          <w:color w:val="auto"/>
        </w:rPr>
      </w:pPr>
      <w:r>
        <w:rPr>
          <w:rStyle w:val="Heading1Char"/>
          <w:b/>
        </w:rPr>
        <w:t>T</w:t>
      </w:r>
      <w:r w:rsidR="00894BDD" w:rsidRPr="00141DA3">
        <w:rPr>
          <w:rStyle w:val="Heading1Char"/>
          <w:b/>
        </w:rPr>
        <w:t xml:space="preserve">he purpose </w:t>
      </w:r>
      <w:r>
        <w:rPr>
          <w:rStyle w:val="Heading1Char"/>
          <w:b/>
        </w:rPr>
        <w:t xml:space="preserve">and possible implications </w:t>
      </w:r>
      <w:r w:rsidR="00894BDD" w:rsidRPr="00141DA3">
        <w:rPr>
          <w:rStyle w:val="Heading1Char"/>
          <w:b/>
        </w:rPr>
        <w:t xml:space="preserve">of the fitness check </w:t>
      </w:r>
      <w:r>
        <w:t>are unclear</w:t>
      </w:r>
    </w:p>
    <w:p w:rsidR="00894BDD" w:rsidRPr="00894BDD" w:rsidRDefault="00894BDD" w:rsidP="00AA1D30">
      <w:pPr>
        <w:spacing w:after="160" w:line="259" w:lineRule="auto"/>
        <w:rPr>
          <w:rFonts w:eastAsia="Calibri"/>
        </w:rPr>
      </w:pPr>
      <w:r w:rsidRPr="00894BDD">
        <w:rPr>
          <w:rFonts w:eastAsia="Calibri"/>
        </w:rPr>
        <w:t>We regret that the public consultation has been launched before a roadmap for the fitness check is available.</w:t>
      </w:r>
      <w:r w:rsidR="00E429CE">
        <w:rPr>
          <w:rFonts w:eastAsia="Calibri"/>
        </w:rPr>
        <w:t xml:space="preserve"> According to the Commission’s Better Regulation guidelines,</w:t>
      </w:r>
      <w:r w:rsidR="00E429CE">
        <w:rPr>
          <w:rStyle w:val="FootnoteReference"/>
          <w:rFonts w:eastAsia="Calibri"/>
        </w:rPr>
        <w:footnoteReference w:id="3"/>
      </w:r>
      <w:r w:rsidR="00E429CE">
        <w:rPr>
          <w:rFonts w:eastAsia="Calibri"/>
        </w:rPr>
        <w:t xml:space="preserve"> stakeholders </w:t>
      </w:r>
      <w:r w:rsidR="00E429CE" w:rsidRPr="00E429CE">
        <w:rPr>
          <w:rFonts w:eastAsia="Calibri"/>
        </w:rPr>
        <w:t>must be able to give feedback on</w:t>
      </w:r>
      <w:r w:rsidR="00E429CE">
        <w:rPr>
          <w:rFonts w:eastAsia="Calibri"/>
        </w:rPr>
        <w:t xml:space="preserve"> fitness c</w:t>
      </w:r>
      <w:r w:rsidR="00E429CE" w:rsidRPr="00E429CE">
        <w:rPr>
          <w:rFonts w:eastAsia="Calibri"/>
        </w:rPr>
        <w:t>heck roadmaps</w:t>
      </w:r>
      <w:r w:rsidR="00E429CE">
        <w:rPr>
          <w:rFonts w:eastAsia="Calibri"/>
        </w:rPr>
        <w:t xml:space="preserve">. </w:t>
      </w:r>
      <w:r w:rsidR="008E3B15">
        <w:rPr>
          <w:rFonts w:eastAsia="Calibri"/>
        </w:rPr>
        <w:t>Yet, n</w:t>
      </w:r>
      <w:r w:rsidR="00E429CE">
        <w:rPr>
          <w:rFonts w:eastAsia="Calibri"/>
        </w:rPr>
        <w:t xml:space="preserve">o opportunity </w:t>
      </w:r>
      <w:r w:rsidR="009B429D">
        <w:rPr>
          <w:rFonts w:eastAsia="Calibri"/>
        </w:rPr>
        <w:t xml:space="preserve">has </w:t>
      </w:r>
      <w:r w:rsidR="00E429CE">
        <w:rPr>
          <w:rFonts w:eastAsia="Calibri"/>
        </w:rPr>
        <w:t>been given to comment on the scope of this fitness check, its methodology and approach as well as the issues it will address.</w:t>
      </w:r>
      <w:r w:rsidR="001454EC" w:rsidRPr="00894BDD">
        <w:rPr>
          <w:rFonts w:eastAsia="Calibri"/>
          <w:vertAlign w:val="superscript"/>
        </w:rPr>
        <w:footnoteReference w:id="4"/>
      </w:r>
      <w:r w:rsidRPr="00894BDD">
        <w:rPr>
          <w:rFonts w:eastAsia="Calibri"/>
        </w:rPr>
        <w:t xml:space="preserve"> </w:t>
      </w:r>
    </w:p>
    <w:p w:rsidR="00C270CE" w:rsidRDefault="00C270CE" w:rsidP="00AA1D30">
      <w:pPr>
        <w:spacing w:after="160" w:line="259" w:lineRule="auto"/>
        <w:rPr>
          <w:rFonts w:eastAsia="Calibri"/>
        </w:rPr>
      </w:pPr>
      <w:r>
        <w:rPr>
          <w:rFonts w:eastAsia="Calibri"/>
        </w:rPr>
        <w:t xml:space="preserve">While the Commission </w:t>
      </w:r>
      <w:r w:rsidR="009B429D">
        <w:rPr>
          <w:rFonts w:eastAsia="Calibri"/>
        </w:rPr>
        <w:t xml:space="preserve">on 18 May </w:t>
      </w:r>
      <w:r>
        <w:rPr>
          <w:rFonts w:eastAsia="Calibri"/>
        </w:rPr>
        <w:t xml:space="preserve">released a </w:t>
      </w:r>
      <w:hyperlink r:id="rId9" w:history="1">
        <w:r w:rsidR="009A51E6" w:rsidRPr="009A51E6">
          <w:rPr>
            <w:rStyle w:val="Hyperlink"/>
            <w:rFonts w:eastAsia="Calibri"/>
            <w:u w:val="none"/>
          </w:rPr>
          <w:t>roadmap</w:t>
        </w:r>
      </w:hyperlink>
      <w:r w:rsidR="009A51E6" w:rsidRPr="009A51E6">
        <w:rPr>
          <w:rFonts w:eastAsia="Calibri"/>
        </w:rPr>
        <w:t xml:space="preserve"> </w:t>
      </w:r>
      <w:r>
        <w:rPr>
          <w:rFonts w:eastAsia="Calibri"/>
        </w:rPr>
        <w:t>for the fitness check</w:t>
      </w:r>
      <w:r w:rsidR="00894BDD" w:rsidRPr="00894BDD">
        <w:rPr>
          <w:rFonts w:eastAsia="Calibri"/>
        </w:rPr>
        <w:t xml:space="preserve">, </w:t>
      </w:r>
      <w:r>
        <w:rPr>
          <w:rFonts w:eastAsia="Calibri"/>
        </w:rPr>
        <w:t xml:space="preserve">it </w:t>
      </w:r>
      <w:r w:rsidR="00CD5C5A">
        <w:rPr>
          <w:rFonts w:eastAsia="Calibri"/>
        </w:rPr>
        <w:t xml:space="preserve">still </w:t>
      </w:r>
      <w:r>
        <w:rPr>
          <w:rFonts w:eastAsia="Calibri"/>
        </w:rPr>
        <w:t xml:space="preserve">fails to provide </w:t>
      </w:r>
      <w:r w:rsidRPr="009A51E6">
        <w:rPr>
          <w:rFonts w:eastAsia="Calibri"/>
          <w:b/>
        </w:rPr>
        <w:t xml:space="preserve">sufficient </w:t>
      </w:r>
      <w:r w:rsidR="00894BDD" w:rsidRPr="009A51E6">
        <w:rPr>
          <w:rFonts w:eastAsia="Calibri"/>
          <w:b/>
        </w:rPr>
        <w:t xml:space="preserve">clarity with respect to the reasons for this exercise </w:t>
      </w:r>
      <w:r w:rsidRPr="009A51E6">
        <w:rPr>
          <w:rFonts w:eastAsia="Calibri"/>
          <w:b/>
        </w:rPr>
        <w:t xml:space="preserve">and in particular </w:t>
      </w:r>
      <w:r w:rsidR="00141DA3" w:rsidRPr="009A51E6">
        <w:rPr>
          <w:rFonts w:eastAsia="Calibri"/>
          <w:b/>
        </w:rPr>
        <w:t xml:space="preserve">regarding the </w:t>
      </w:r>
      <w:r w:rsidR="00894BDD" w:rsidRPr="009A51E6">
        <w:rPr>
          <w:rFonts w:eastAsia="Calibri"/>
          <w:b/>
        </w:rPr>
        <w:t xml:space="preserve">concrete regulatory consequences </w:t>
      </w:r>
      <w:r w:rsidR="0026758D" w:rsidRPr="009A51E6">
        <w:rPr>
          <w:rFonts w:eastAsia="Calibri"/>
          <w:b/>
        </w:rPr>
        <w:t xml:space="preserve">that </w:t>
      </w:r>
      <w:r w:rsidR="00894BDD" w:rsidRPr="009A51E6">
        <w:rPr>
          <w:rFonts w:eastAsia="Calibri"/>
          <w:b/>
        </w:rPr>
        <w:t>could follow from it</w:t>
      </w:r>
      <w:r w:rsidR="00894BDD" w:rsidRPr="00894BDD">
        <w:rPr>
          <w:rFonts w:eastAsia="Calibri"/>
        </w:rPr>
        <w:t xml:space="preserve">. </w:t>
      </w:r>
      <w:r w:rsidR="00CD5C5A">
        <w:rPr>
          <w:rFonts w:eastAsia="Calibri"/>
        </w:rPr>
        <w:t xml:space="preserve">The roadmap </w:t>
      </w:r>
      <w:r w:rsidR="00393CB5">
        <w:rPr>
          <w:rFonts w:eastAsia="Calibri"/>
        </w:rPr>
        <w:t xml:space="preserve">thus </w:t>
      </w:r>
      <w:r w:rsidR="00CD5C5A">
        <w:rPr>
          <w:rFonts w:eastAsia="Calibri"/>
        </w:rPr>
        <w:t>states that the fitness check “will identify possible further burden reduction actions”,</w:t>
      </w:r>
      <w:r w:rsidR="00CD5C5A">
        <w:rPr>
          <w:rStyle w:val="FootnoteReference"/>
          <w:rFonts w:eastAsia="Calibri"/>
        </w:rPr>
        <w:footnoteReference w:id="5"/>
      </w:r>
      <w:r w:rsidR="00CD5C5A">
        <w:rPr>
          <w:rFonts w:eastAsia="Calibri"/>
        </w:rPr>
        <w:t xml:space="preserve"> but neglects to explain how the Commission might act on them. </w:t>
      </w:r>
      <w:r w:rsidR="00894BDD" w:rsidRPr="00894BDD">
        <w:rPr>
          <w:rFonts w:eastAsia="Calibri"/>
        </w:rPr>
        <w:t xml:space="preserve">The Commission in short seems to put the cart before the horse. </w:t>
      </w:r>
      <w:r w:rsidR="00CD5C5A" w:rsidRPr="009B429D">
        <w:rPr>
          <w:rFonts w:eastAsia="Calibri"/>
        </w:rPr>
        <w:t xml:space="preserve">We </w:t>
      </w:r>
      <w:r w:rsidR="00393CB5">
        <w:rPr>
          <w:rFonts w:eastAsia="Calibri"/>
        </w:rPr>
        <w:t>therefore</w:t>
      </w:r>
      <w:r w:rsidR="00CD5C5A" w:rsidRPr="009B429D">
        <w:rPr>
          <w:rFonts w:eastAsia="Calibri"/>
        </w:rPr>
        <w:t xml:space="preserve"> ask that the Commission respects its own </w:t>
      </w:r>
      <w:r w:rsidR="00CD5C5A">
        <w:rPr>
          <w:rFonts w:eastAsia="Calibri"/>
        </w:rPr>
        <w:t>B</w:t>
      </w:r>
      <w:r w:rsidR="00CD5C5A" w:rsidRPr="009B429D">
        <w:rPr>
          <w:rFonts w:eastAsia="Calibri"/>
        </w:rPr>
        <w:t xml:space="preserve">etter </w:t>
      </w:r>
      <w:r w:rsidR="00CD5C5A">
        <w:rPr>
          <w:rFonts w:eastAsia="Calibri"/>
        </w:rPr>
        <w:t>R</w:t>
      </w:r>
      <w:r w:rsidR="00CD5C5A" w:rsidRPr="009B429D">
        <w:rPr>
          <w:rFonts w:eastAsia="Calibri"/>
        </w:rPr>
        <w:t>egulation practices to ensure transparency and predictability for stakeholders.</w:t>
      </w:r>
    </w:p>
    <w:p w:rsidR="008E79B7" w:rsidRDefault="008E79B7" w:rsidP="00AA1D30">
      <w:pPr>
        <w:spacing w:after="160" w:line="259" w:lineRule="auto"/>
        <w:rPr>
          <w:rFonts w:eastAsia="Calibri"/>
        </w:rPr>
      </w:pPr>
    </w:p>
    <w:p w:rsidR="008E79B7" w:rsidRPr="00894BDD" w:rsidRDefault="00836BEC" w:rsidP="00836BEC">
      <w:pPr>
        <w:pStyle w:val="Heading1"/>
      </w:pPr>
      <w:r>
        <w:lastRenderedPageBreak/>
        <w:t>As designed, t</w:t>
      </w:r>
      <w:r w:rsidR="008E79B7" w:rsidRPr="00894BDD">
        <w:t xml:space="preserve">he fitness check </w:t>
      </w:r>
      <w:r>
        <w:t xml:space="preserve">will generate biased results </w:t>
      </w:r>
    </w:p>
    <w:p w:rsidR="000C48F4" w:rsidRPr="00B26263" w:rsidRDefault="008E3B15" w:rsidP="00081422">
      <w:pPr>
        <w:spacing w:after="120"/>
        <w:rPr>
          <w:rFonts w:eastAsia="Calibri"/>
        </w:rPr>
      </w:pPr>
      <w:r>
        <w:rPr>
          <w:rFonts w:eastAsia="Calibri"/>
        </w:rPr>
        <w:t>T</w:t>
      </w:r>
      <w:r w:rsidR="000C48F4" w:rsidRPr="00B26263">
        <w:rPr>
          <w:rFonts w:eastAsia="Calibri"/>
        </w:rPr>
        <w:t>he fitness check should primarily look at identifying shortcomings in the EU legislative frameworks governing chemicals with a view to strengthen consumer protection.</w:t>
      </w:r>
    </w:p>
    <w:p w:rsidR="006F1E98" w:rsidRDefault="006F1E98" w:rsidP="00081422">
      <w:pPr>
        <w:spacing w:after="120" w:line="259" w:lineRule="auto"/>
        <w:rPr>
          <w:rFonts w:eastAsia="Calibri"/>
        </w:rPr>
      </w:pPr>
      <w:r w:rsidRPr="00894BDD">
        <w:rPr>
          <w:rFonts w:eastAsia="Calibri"/>
        </w:rPr>
        <w:t>We question</w:t>
      </w:r>
      <w:r w:rsidR="009E3CD9">
        <w:rPr>
          <w:rFonts w:eastAsia="Calibri"/>
        </w:rPr>
        <w:t>, however,</w:t>
      </w:r>
      <w:r w:rsidRPr="00894BDD">
        <w:rPr>
          <w:rFonts w:eastAsia="Calibri"/>
        </w:rPr>
        <w:t xml:space="preserve"> whether the fitness check will result in a valid</w:t>
      </w:r>
      <w:r w:rsidR="002A35E7">
        <w:rPr>
          <w:rFonts w:eastAsia="Calibri"/>
        </w:rPr>
        <w:t xml:space="preserve"> and balanced</w:t>
      </w:r>
      <w:r w:rsidRPr="00894BDD">
        <w:rPr>
          <w:rFonts w:eastAsia="Calibri"/>
        </w:rPr>
        <w:t xml:space="preserve"> assessment of the extent to which EU chemicals legislation is fit for purpose. </w:t>
      </w:r>
      <w:r w:rsidR="0026758D">
        <w:rPr>
          <w:rFonts w:eastAsia="Calibri"/>
        </w:rPr>
        <w:t xml:space="preserve">As </w:t>
      </w:r>
      <w:r w:rsidR="0026758D" w:rsidRPr="00894BDD">
        <w:rPr>
          <w:rFonts w:eastAsia="Calibri"/>
        </w:rPr>
        <w:t xml:space="preserve">designed by the Commission, the fitness check </w:t>
      </w:r>
      <w:r w:rsidR="0030053B">
        <w:rPr>
          <w:rFonts w:eastAsia="Calibri"/>
        </w:rPr>
        <w:t xml:space="preserve">suffers from significant flaws and its eventual results should not be used </w:t>
      </w:r>
      <w:r w:rsidR="0026758D" w:rsidRPr="00894BDD">
        <w:rPr>
          <w:rFonts w:eastAsia="Calibri"/>
        </w:rPr>
        <w:t xml:space="preserve">to guide decisions on the future course of EU chemicals policy. </w:t>
      </w:r>
    </w:p>
    <w:p w:rsidR="006A47AF" w:rsidRDefault="006A47AF" w:rsidP="00B26263">
      <w:pPr>
        <w:spacing w:after="160" w:line="259" w:lineRule="auto"/>
        <w:rPr>
          <w:rFonts w:eastAsia="Calibri"/>
        </w:rPr>
      </w:pPr>
    </w:p>
    <w:p w:rsidR="006A47AF" w:rsidRDefault="006A47AF" w:rsidP="006A47AF">
      <w:pPr>
        <w:pStyle w:val="Heading2"/>
      </w:pPr>
      <w:r>
        <w:t>The scope of the fitness check is too broad</w:t>
      </w:r>
    </w:p>
    <w:p w:rsidR="000072F5" w:rsidRPr="00894BDD" w:rsidRDefault="0030053B" w:rsidP="000072F5">
      <w:pPr>
        <w:spacing w:after="160" w:line="259" w:lineRule="auto"/>
        <w:rPr>
          <w:rFonts w:eastAsia="Calibri"/>
        </w:rPr>
      </w:pPr>
      <w:r>
        <w:rPr>
          <w:rFonts w:eastAsia="Calibri"/>
        </w:rPr>
        <w:t>T</w:t>
      </w:r>
      <w:r w:rsidR="006F1E98">
        <w:rPr>
          <w:rFonts w:eastAsia="Calibri"/>
        </w:rPr>
        <w:t>he fitness check consider</w:t>
      </w:r>
      <w:r>
        <w:rPr>
          <w:rFonts w:eastAsia="Calibri"/>
        </w:rPr>
        <w:t>s</w:t>
      </w:r>
      <w:r w:rsidR="006F1E98">
        <w:rPr>
          <w:rFonts w:eastAsia="Calibri"/>
        </w:rPr>
        <w:t xml:space="preserve"> </w:t>
      </w:r>
      <w:r w:rsidR="006F1E98" w:rsidRPr="00894BDD">
        <w:rPr>
          <w:rFonts w:eastAsia="Calibri"/>
        </w:rPr>
        <w:t xml:space="preserve">45 pieces of legislation from different areas such as worker protection, consumer protection and environmental legislation. </w:t>
      </w:r>
      <w:r>
        <w:rPr>
          <w:rFonts w:eastAsia="Calibri"/>
        </w:rPr>
        <w:t>However, i</w:t>
      </w:r>
      <w:r w:rsidR="00836BEC" w:rsidRPr="00894BDD">
        <w:rPr>
          <w:rFonts w:eastAsia="Calibri"/>
        </w:rPr>
        <w:t xml:space="preserve">t is impossible to consider information </w:t>
      </w:r>
      <w:r w:rsidR="00497350">
        <w:rPr>
          <w:rFonts w:eastAsia="Calibri"/>
        </w:rPr>
        <w:t xml:space="preserve">with sufficient detail </w:t>
      </w:r>
      <w:r w:rsidR="00836BEC" w:rsidRPr="00894BDD">
        <w:rPr>
          <w:rFonts w:eastAsia="Calibri"/>
        </w:rPr>
        <w:t xml:space="preserve">with regard to all relevant legislation. </w:t>
      </w:r>
      <w:r w:rsidR="000072F5" w:rsidRPr="00894BDD">
        <w:rPr>
          <w:rFonts w:eastAsia="Calibri"/>
        </w:rPr>
        <w:t xml:space="preserve">Even if the fitness check does not seek an in-depth evaluation of each of these separate and diverse pieces of legislation, we doubt that it </w:t>
      </w:r>
      <w:r w:rsidR="00D32DB4">
        <w:rPr>
          <w:rFonts w:eastAsia="Calibri"/>
        </w:rPr>
        <w:t xml:space="preserve">can </w:t>
      </w:r>
      <w:r w:rsidR="000072F5" w:rsidRPr="00894BDD">
        <w:rPr>
          <w:rFonts w:eastAsia="Calibri"/>
        </w:rPr>
        <w:t>lead to anything but a superficial assessment of the overall functioning of the chemicals framework given the large number of laws operating according to diverse principles and circumstances.</w:t>
      </w:r>
      <w:r w:rsidR="00497350">
        <w:rPr>
          <w:rFonts w:eastAsia="Calibri"/>
        </w:rPr>
        <w:t xml:space="preserve"> </w:t>
      </w:r>
    </w:p>
    <w:p w:rsidR="00A65D75" w:rsidRDefault="000072F5" w:rsidP="00A65D75">
      <w:pPr>
        <w:spacing w:after="160" w:line="259" w:lineRule="auto"/>
        <w:rPr>
          <w:rFonts w:eastAsia="Calibri"/>
        </w:rPr>
      </w:pPr>
      <w:r>
        <w:rPr>
          <w:rFonts w:eastAsia="Calibri"/>
        </w:rPr>
        <w:t>M</w:t>
      </w:r>
      <w:r w:rsidRPr="00B26263">
        <w:rPr>
          <w:rFonts w:eastAsia="Calibri"/>
        </w:rPr>
        <w:t xml:space="preserve">ost of the questions </w:t>
      </w:r>
      <w:r>
        <w:rPr>
          <w:rFonts w:eastAsia="Calibri"/>
        </w:rPr>
        <w:t xml:space="preserve">asked in the public consultation </w:t>
      </w:r>
      <w:r w:rsidRPr="00B26263">
        <w:rPr>
          <w:rFonts w:eastAsia="Calibri"/>
        </w:rPr>
        <w:t>are</w:t>
      </w:r>
      <w:r>
        <w:rPr>
          <w:rFonts w:eastAsia="Calibri"/>
        </w:rPr>
        <w:t xml:space="preserve"> meanwhile</w:t>
      </w:r>
      <w:r w:rsidRPr="00B26263">
        <w:rPr>
          <w:rFonts w:eastAsia="Calibri"/>
        </w:rPr>
        <w:t xml:space="preserve"> </w:t>
      </w:r>
      <w:r>
        <w:rPr>
          <w:rFonts w:eastAsia="Calibri"/>
        </w:rPr>
        <w:t>formulated at a</w:t>
      </w:r>
      <w:r w:rsidR="00497350">
        <w:rPr>
          <w:rFonts w:eastAsia="Calibri"/>
        </w:rPr>
        <w:t xml:space="preserve"> highly</w:t>
      </w:r>
      <w:r>
        <w:rPr>
          <w:rFonts w:eastAsia="Calibri"/>
        </w:rPr>
        <w:t xml:space="preserve"> aggregate level </w:t>
      </w:r>
      <w:r w:rsidRPr="00B26263">
        <w:rPr>
          <w:rFonts w:eastAsia="Calibri"/>
        </w:rPr>
        <w:t xml:space="preserve">such as for instance “to what extent are the following elements of the overall EU legislative framework for chemicals satisfactory?” </w:t>
      </w:r>
      <w:r w:rsidR="0031473E">
        <w:rPr>
          <w:rFonts w:eastAsia="Calibri"/>
        </w:rPr>
        <w:t xml:space="preserve">(Q16) </w:t>
      </w:r>
      <w:r>
        <w:rPr>
          <w:rFonts w:eastAsia="Calibri"/>
        </w:rPr>
        <w:t xml:space="preserve">From a consumer perspective, the assessment will however differ significantly from </w:t>
      </w:r>
      <w:r w:rsidRPr="00B26263">
        <w:rPr>
          <w:rFonts w:eastAsia="Calibri"/>
        </w:rPr>
        <w:t xml:space="preserve">toys </w:t>
      </w:r>
      <w:r>
        <w:rPr>
          <w:rFonts w:eastAsia="Calibri"/>
        </w:rPr>
        <w:t xml:space="preserve">over </w:t>
      </w:r>
      <w:r w:rsidRPr="00B26263">
        <w:rPr>
          <w:rFonts w:eastAsia="Calibri"/>
        </w:rPr>
        <w:t xml:space="preserve">cosmetics </w:t>
      </w:r>
      <w:r>
        <w:rPr>
          <w:rFonts w:eastAsia="Calibri"/>
        </w:rPr>
        <w:t xml:space="preserve">to the </w:t>
      </w:r>
      <w:r w:rsidRPr="00B26263">
        <w:rPr>
          <w:rFonts w:eastAsia="Calibri"/>
        </w:rPr>
        <w:t>CLP</w:t>
      </w:r>
      <w:r>
        <w:rPr>
          <w:rFonts w:eastAsia="Calibri"/>
        </w:rPr>
        <w:t xml:space="preserve"> Regulation</w:t>
      </w:r>
      <w:r w:rsidRPr="00B26263">
        <w:rPr>
          <w:rFonts w:eastAsia="Calibri"/>
        </w:rPr>
        <w:t xml:space="preserve">. Estimating </w:t>
      </w:r>
      <w:r>
        <w:rPr>
          <w:rFonts w:eastAsia="Calibri"/>
        </w:rPr>
        <w:t xml:space="preserve">an average performance </w:t>
      </w:r>
      <w:r w:rsidR="006F47A0">
        <w:rPr>
          <w:rFonts w:eastAsia="Calibri"/>
        </w:rPr>
        <w:t xml:space="preserve">level </w:t>
      </w:r>
      <w:r w:rsidRPr="00B26263">
        <w:rPr>
          <w:rFonts w:eastAsia="Calibri"/>
        </w:rPr>
        <w:t xml:space="preserve">is meaningless and </w:t>
      </w:r>
      <w:r>
        <w:rPr>
          <w:rFonts w:eastAsia="Calibri"/>
        </w:rPr>
        <w:t xml:space="preserve">will </w:t>
      </w:r>
      <w:r w:rsidRPr="00B26263">
        <w:rPr>
          <w:rFonts w:eastAsia="Calibri"/>
        </w:rPr>
        <w:t>not provide the</w:t>
      </w:r>
      <w:r>
        <w:rPr>
          <w:rFonts w:eastAsia="Calibri"/>
        </w:rPr>
        <w:t xml:space="preserve"> Commission </w:t>
      </w:r>
      <w:r w:rsidRPr="00B26263">
        <w:rPr>
          <w:rFonts w:eastAsia="Calibri"/>
        </w:rPr>
        <w:t xml:space="preserve">with useful information on </w:t>
      </w:r>
      <w:r w:rsidR="006F47A0">
        <w:rPr>
          <w:rFonts w:eastAsia="Calibri"/>
        </w:rPr>
        <w:t xml:space="preserve">the </w:t>
      </w:r>
      <w:r>
        <w:rPr>
          <w:rFonts w:eastAsia="Calibri"/>
        </w:rPr>
        <w:t xml:space="preserve">actual state of EU chemicals legislation or </w:t>
      </w:r>
      <w:r w:rsidRPr="00B26263">
        <w:rPr>
          <w:rFonts w:eastAsia="Calibri"/>
        </w:rPr>
        <w:t xml:space="preserve">where improvement would be needed. </w:t>
      </w:r>
      <w:r w:rsidR="00A65D75" w:rsidRPr="00894BDD">
        <w:rPr>
          <w:rFonts w:eastAsia="Calibri"/>
        </w:rPr>
        <w:t>Unfortunately, both the fitness check</w:t>
      </w:r>
      <w:r w:rsidR="00A65D75">
        <w:rPr>
          <w:rFonts w:eastAsia="Calibri"/>
        </w:rPr>
        <w:t>s</w:t>
      </w:r>
      <w:r w:rsidR="00A65D75" w:rsidRPr="00894BDD">
        <w:rPr>
          <w:rFonts w:eastAsia="Calibri"/>
        </w:rPr>
        <w:t xml:space="preserve"> and the public consultation include a number of such ambiguities. </w:t>
      </w:r>
    </w:p>
    <w:p w:rsidR="006A47AF" w:rsidRDefault="006A47AF" w:rsidP="00A65D75">
      <w:pPr>
        <w:spacing w:after="160" w:line="259" w:lineRule="auto"/>
        <w:rPr>
          <w:rFonts w:eastAsia="Calibri"/>
        </w:rPr>
      </w:pPr>
    </w:p>
    <w:p w:rsidR="006A47AF" w:rsidRDefault="006A47AF" w:rsidP="006A47AF">
      <w:pPr>
        <w:pStyle w:val="Heading2"/>
      </w:pPr>
      <w:r>
        <w:t>The fitness check adopts a biased focus on costs</w:t>
      </w:r>
      <w:r w:rsidR="00497350">
        <w:t xml:space="preserve"> and redundancies</w:t>
      </w:r>
    </w:p>
    <w:p w:rsidR="00BA3EE1" w:rsidRDefault="00BA3EE1" w:rsidP="001454EC">
      <w:pPr>
        <w:spacing w:after="120" w:line="259" w:lineRule="auto"/>
        <w:rPr>
          <w:rFonts w:eastAsia="Calibri"/>
        </w:rPr>
      </w:pPr>
      <w:r>
        <w:rPr>
          <w:rFonts w:eastAsia="Calibri"/>
        </w:rPr>
        <w:t xml:space="preserve">The EU chemicals </w:t>
      </w:r>
      <w:r>
        <w:rPr>
          <w:rFonts w:eastAsia="Calibri"/>
          <w:i/>
        </w:rPr>
        <w:t xml:space="preserve">acquis </w:t>
      </w:r>
      <w:r>
        <w:rPr>
          <w:rFonts w:eastAsia="Calibri"/>
        </w:rPr>
        <w:t xml:space="preserve">intends to achieve </w:t>
      </w:r>
      <w:r w:rsidRPr="00BA3EE1">
        <w:rPr>
          <w:rFonts w:eastAsia="Calibri"/>
          <w:i/>
        </w:rPr>
        <w:t>both</w:t>
      </w:r>
      <w:r>
        <w:rPr>
          <w:rFonts w:eastAsia="Calibri"/>
        </w:rPr>
        <w:t xml:space="preserve"> </w:t>
      </w:r>
      <w:r w:rsidRPr="00BA3EE1">
        <w:rPr>
          <w:rFonts w:eastAsia="Calibri"/>
        </w:rPr>
        <w:t xml:space="preserve">a high level of protection of human health and the environment </w:t>
      </w:r>
      <w:r>
        <w:rPr>
          <w:rFonts w:eastAsia="Calibri"/>
          <w:i/>
        </w:rPr>
        <w:t>and</w:t>
      </w:r>
      <w:r>
        <w:rPr>
          <w:rFonts w:eastAsia="Calibri"/>
        </w:rPr>
        <w:t xml:space="preserve"> the proper </w:t>
      </w:r>
      <w:r w:rsidRPr="00BA3EE1">
        <w:rPr>
          <w:rFonts w:eastAsia="Calibri"/>
        </w:rPr>
        <w:t>functioning of the internal marke</w:t>
      </w:r>
      <w:r w:rsidR="00280BBF">
        <w:rPr>
          <w:rFonts w:eastAsia="Calibri"/>
        </w:rPr>
        <w:t xml:space="preserve">t in chemicals. The fitness check therefore needs to devote </w:t>
      </w:r>
      <w:r w:rsidR="00280BBF">
        <w:rPr>
          <w:rFonts w:eastAsia="Calibri"/>
          <w:i/>
        </w:rPr>
        <w:t xml:space="preserve">equal </w:t>
      </w:r>
      <w:r w:rsidR="00280BBF">
        <w:rPr>
          <w:rFonts w:eastAsia="Calibri"/>
        </w:rPr>
        <w:t xml:space="preserve">attention to assessing whether the legislative framework achieves </w:t>
      </w:r>
      <w:r w:rsidR="00280BBF">
        <w:rPr>
          <w:rFonts w:eastAsia="Calibri"/>
          <w:i/>
        </w:rPr>
        <w:t xml:space="preserve">both </w:t>
      </w:r>
      <w:r w:rsidR="00280BBF">
        <w:rPr>
          <w:rFonts w:eastAsia="Calibri"/>
        </w:rPr>
        <w:t xml:space="preserve">of these objectives. </w:t>
      </w:r>
      <w:r>
        <w:rPr>
          <w:rFonts w:eastAsia="Calibri"/>
        </w:rPr>
        <w:t>Nonetheless, t</w:t>
      </w:r>
      <w:r w:rsidRPr="00B26263">
        <w:rPr>
          <w:rFonts w:eastAsia="Calibri"/>
        </w:rPr>
        <w:t>he fitness check adopts a narrow focus on identifying regulatory burdens to industry, quantifying costs, and eliminating redundancies.</w:t>
      </w:r>
      <w:r>
        <w:rPr>
          <w:rFonts w:eastAsia="Calibri"/>
        </w:rPr>
        <w:t xml:space="preserve"> </w:t>
      </w:r>
    </w:p>
    <w:p w:rsidR="00A65D75" w:rsidRDefault="00A65D75" w:rsidP="001454EC">
      <w:pPr>
        <w:spacing w:after="120" w:line="259" w:lineRule="auto"/>
        <w:rPr>
          <w:rFonts w:eastAsia="Calibri"/>
        </w:rPr>
      </w:pPr>
      <w:r>
        <w:rPr>
          <w:rFonts w:eastAsia="Calibri"/>
        </w:rPr>
        <w:t>For example, the public consultation do</w:t>
      </w:r>
      <w:r w:rsidR="008E3B15">
        <w:rPr>
          <w:rFonts w:eastAsia="Calibri"/>
        </w:rPr>
        <w:t>es</w:t>
      </w:r>
      <w:r>
        <w:rPr>
          <w:rFonts w:eastAsia="Calibri"/>
        </w:rPr>
        <w:t xml:space="preserve"> not aim primarily at assessing whether the current legislative framework is fit for achieving the crucial goal of </w:t>
      </w:r>
      <w:r w:rsidR="006F47A0">
        <w:rPr>
          <w:rFonts w:eastAsia="Calibri"/>
        </w:rPr>
        <w:t>protecting consumers</w:t>
      </w:r>
      <w:r>
        <w:rPr>
          <w:rFonts w:eastAsia="Calibri"/>
        </w:rPr>
        <w:t xml:space="preserve">. </w:t>
      </w:r>
      <w:r w:rsidR="006F1E98">
        <w:rPr>
          <w:rFonts w:eastAsia="Calibri"/>
        </w:rPr>
        <w:t xml:space="preserve">In fact, the </w:t>
      </w:r>
      <w:r>
        <w:rPr>
          <w:rFonts w:eastAsia="Calibri"/>
        </w:rPr>
        <w:t xml:space="preserve">questions are </w:t>
      </w:r>
      <w:r w:rsidR="006F1E98">
        <w:rPr>
          <w:rFonts w:eastAsia="Calibri"/>
        </w:rPr>
        <w:t xml:space="preserve">unfit to </w:t>
      </w:r>
      <w:r>
        <w:rPr>
          <w:rFonts w:eastAsia="Calibri"/>
        </w:rPr>
        <w:t>identify</w:t>
      </w:r>
      <w:r w:rsidR="006F1E98">
        <w:rPr>
          <w:rFonts w:eastAsia="Calibri"/>
        </w:rPr>
        <w:t xml:space="preserve"> </w:t>
      </w:r>
      <w:r>
        <w:rPr>
          <w:rFonts w:eastAsia="Calibri"/>
        </w:rPr>
        <w:t xml:space="preserve">the serious </w:t>
      </w:r>
      <w:r w:rsidR="006F1E98">
        <w:rPr>
          <w:rFonts w:eastAsia="Calibri"/>
        </w:rPr>
        <w:t xml:space="preserve">legislative </w:t>
      </w:r>
      <w:r>
        <w:rPr>
          <w:rFonts w:eastAsia="Calibri"/>
        </w:rPr>
        <w:t xml:space="preserve">gaps </w:t>
      </w:r>
      <w:r w:rsidR="006F1E98">
        <w:rPr>
          <w:rFonts w:eastAsia="Calibri"/>
        </w:rPr>
        <w:t xml:space="preserve">we – </w:t>
      </w:r>
      <w:r>
        <w:rPr>
          <w:rFonts w:eastAsia="Calibri"/>
        </w:rPr>
        <w:t xml:space="preserve">often echoed by national authorities </w:t>
      </w:r>
      <w:r w:rsidR="006F1E98">
        <w:rPr>
          <w:rFonts w:eastAsia="Calibri"/>
        </w:rPr>
        <w:t xml:space="preserve">– </w:t>
      </w:r>
      <w:r>
        <w:rPr>
          <w:rFonts w:eastAsia="Calibri"/>
        </w:rPr>
        <w:t xml:space="preserve">as consumer organisations have long denounced, especially </w:t>
      </w:r>
      <w:r w:rsidR="006F1E98">
        <w:rPr>
          <w:rFonts w:eastAsia="Calibri"/>
        </w:rPr>
        <w:t xml:space="preserve">with respect to </w:t>
      </w:r>
      <w:r>
        <w:rPr>
          <w:rFonts w:eastAsia="Calibri"/>
        </w:rPr>
        <w:t>consumer products.</w:t>
      </w:r>
      <w:r w:rsidR="00946207" w:rsidRPr="00946207">
        <w:rPr>
          <w:rFonts w:eastAsia="Calibri"/>
        </w:rPr>
        <w:t xml:space="preserve"> </w:t>
      </w:r>
      <w:r w:rsidR="00946207" w:rsidRPr="00BA3EE1">
        <w:rPr>
          <w:rFonts w:eastAsia="Calibri"/>
        </w:rPr>
        <w:t>We further elaborate these criticisms in our response to the public consultation annexed to this paper.</w:t>
      </w:r>
    </w:p>
    <w:p w:rsidR="00113CB7" w:rsidRDefault="008E3B15" w:rsidP="001454EC">
      <w:pPr>
        <w:spacing w:after="120"/>
        <w:rPr>
          <w:rFonts w:eastAsia="Calibri"/>
        </w:rPr>
      </w:pPr>
      <w:r>
        <w:rPr>
          <w:rFonts w:eastAsia="Calibri"/>
        </w:rPr>
        <w:t>T</w:t>
      </w:r>
      <w:r w:rsidR="00A65D75" w:rsidRPr="00B26263">
        <w:rPr>
          <w:rFonts w:eastAsia="Calibri"/>
        </w:rPr>
        <w:t xml:space="preserve">he fitness check </w:t>
      </w:r>
      <w:r>
        <w:rPr>
          <w:rFonts w:eastAsia="Calibri"/>
        </w:rPr>
        <w:t>must</w:t>
      </w:r>
      <w:r w:rsidRPr="00B26263">
        <w:rPr>
          <w:rFonts w:eastAsia="Calibri"/>
        </w:rPr>
        <w:t xml:space="preserve"> </w:t>
      </w:r>
      <w:r w:rsidR="00A65D75" w:rsidRPr="00B26263">
        <w:rPr>
          <w:rFonts w:eastAsia="Calibri"/>
        </w:rPr>
        <w:t>adopt a balanced approach to the costs and benefits of EU chemicals legislation.</w:t>
      </w:r>
      <w:r w:rsidR="00113CB7">
        <w:rPr>
          <w:rFonts w:eastAsia="Calibri"/>
        </w:rPr>
        <w:t xml:space="preserve"> This should also include a comprehensive review of whether the enforcement of EU chemicals legislation is effective and achieves a high level of protection as the legislation intends. Equal attention needs in this context </w:t>
      </w:r>
      <w:r w:rsidR="00D32DB4">
        <w:rPr>
          <w:rFonts w:eastAsia="Calibri"/>
        </w:rPr>
        <w:t xml:space="preserve">to </w:t>
      </w:r>
      <w:r w:rsidR="00113CB7">
        <w:rPr>
          <w:rFonts w:eastAsia="Calibri"/>
        </w:rPr>
        <w:t xml:space="preserve">be paid to the costs to society </w:t>
      </w:r>
      <w:r w:rsidR="00113CB7" w:rsidRPr="00BA3EE1">
        <w:rPr>
          <w:rFonts w:eastAsia="Calibri"/>
        </w:rPr>
        <w:t>of non-compliance</w:t>
      </w:r>
      <w:r w:rsidR="00113CB7">
        <w:rPr>
          <w:rFonts w:eastAsia="Calibri"/>
        </w:rPr>
        <w:t xml:space="preserve"> with legal requirements, such as for example </w:t>
      </w:r>
      <w:r w:rsidR="00113CB7" w:rsidRPr="00EF5A09">
        <w:rPr>
          <w:rFonts w:eastAsia="Calibri"/>
        </w:rPr>
        <w:t>costs related to disease</w:t>
      </w:r>
      <w:r w:rsidR="00113CB7">
        <w:rPr>
          <w:rFonts w:eastAsia="Calibri"/>
        </w:rPr>
        <w:t xml:space="preserve">, </w:t>
      </w:r>
      <w:r w:rsidR="00113CB7" w:rsidRPr="00EF5A09">
        <w:rPr>
          <w:rFonts w:eastAsia="Calibri"/>
        </w:rPr>
        <w:t>productivity loss, increased sick leave, morbidity, health care costs, etc.</w:t>
      </w:r>
    </w:p>
    <w:p w:rsidR="00A65D75" w:rsidRPr="00B26263" w:rsidRDefault="00A65D75" w:rsidP="001454EC">
      <w:pPr>
        <w:spacing w:after="120"/>
        <w:rPr>
          <w:rFonts w:eastAsia="Calibri"/>
        </w:rPr>
      </w:pPr>
      <w:r w:rsidRPr="00B26263">
        <w:rPr>
          <w:rFonts w:eastAsia="Calibri"/>
        </w:rPr>
        <w:lastRenderedPageBreak/>
        <w:t>We call on the Commission to approach the fitness check as an opportunity to strengthen – not weaken – the legislative framework governing chemicals. Consumer and environmental protection – rather than primarily economic considerations – must be at the heart of this exercise.</w:t>
      </w:r>
    </w:p>
    <w:p w:rsidR="00B26263" w:rsidRDefault="00B26263" w:rsidP="00B26263">
      <w:pPr>
        <w:spacing w:after="160" w:line="259" w:lineRule="auto"/>
        <w:rPr>
          <w:rFonts w:eastAsia="Calibri"/>
        </w:rPr>
      </w:pPr>
    </w:p>
    <w:p w:rsidR="00141DA3" w:rsidRPr="00894BDD" w:rsidRDefault="00141DA3" w:rsidP="00141DA3">
      <w:pPr>
        <w:pStyle w:val="Heading1"/>
      </w:pPr>
      <w:r w:rsidRPr="00894BDD">
        <w:t xml:space="preserve">The fitness check threatens to compromise consumer protection </w:t>
      </w:r>
    </w:p>
    <w:p w:rsidR="00141DA3" w:rsidRPr="00894BDD" w:rsidRDefault="00141DA3" w:rsidP="00141DA3">
      <w:pPr>
        <w:spacing w:after="160" w:line="259" w:lineRule="auto"/>
        <w:rPr>
          <w:rFonts w:eastAsia="Calibri"/>
        </w:rPr>
      </w:pPr>
      <w:r w:rsidRPr="00894BDD">
        <w:rPr>
          <w:rFonts w:eastAsia="Calibri"/>
        </w:rPr>
        <w:t xml:space="preserve">According </w:t>
      </w:r>
      <w:r w:rsidR="00396188">
        <w:rPr>
          <w:rFonts w:eastAsia="Calibri"/>
        </w:rPr>
        <w:t xml:space="preserve">to </w:t>
      </w:r>
      <w:r w:rsidRPr="00894BDD">
        <w:rPr>
          <w:rFonts w:eastAsia="Calibri"/>
        </w:rPr>
        <w:t xml:space="preserve">the Commission, the aim of the fitness check is to assess the relevance, coherence, effectiveness, efficiency and added value of the legislative framework for the </w:t>
      </w:r>
      <w:r w:rsidRPr="00894BDD">
        <w:rPr>
          <w:rFonts w:eastAsia="Calibri"/>
          <w:b/>
        </w:rPr>
        <w:t>risk management of chemicals</w:t>
      </w:r>
      <w:r w:rsidRPr="00894BDD">
        <w:rPr>
          <w:rFonts w:eastAsia="Calibri"/>
        </w:rPr>
        <w:t>.</w:t>
      </w:r>
      <w:r w:rsidRPr="00894BDD">
        <w:rPr>
          <w:rFonts w:eastAsia="Calibri"/>
          <w:vertAlign w:val="superscript"/>
        </w:rPr>
        <w:footnoteReference w:id="6"/>
      </w:r>
      <w:r w:rsidRPr="00894BDD">
        <w:rPr>
          <w:rFonts w:eastAsia="Calibri"/>
        </w:rPr>
        <w:t> </w:t>
      </w:r>
    </w:p>
    <w:p w:rsidR="00141DA3" w:rsidRDefault="00141DA3" w:rsidP="00141DA3">
      <w:pPr>
        <w:spacing w:after="160" w:line="259" w:lineRule="auto"/>
        <w:rPr>
          <w:rFonts w:eastAsia="Calibri"/>
        </w:rPr>
      </w:pPr>
      <w:r w:rsidRPr="00894BDD">
        <w:rPr>
          <w:rFonts w:eastAsia="Calibri"/>
        </w:rPr>
        <w:t xml:space="preserve">While the fitness check covers a wide range of diverse laws, only one aspect of the legislative framework, risk management, is singled out for in-depth examination. We strongly object to this narrow focus: as the aim of the fitness check is to assess whether the current legislative framework for chemicals is fit for purpose and delivers as expected, it needs to provide a comprehensive review of the extent to which </w:t>
      </w:r>
      <w:r w:rsidR="0034617F">
        <w:rPr>
          <w:rFonts w:eastAsia="Calibri"/>
        </w:rPr>
        <w:t xml:space="preserve">chemical </w:t>
      </w:r>
      <w:r w:rsidRPr="00894BDD">
        <w:rPr>
          <w:rFonts w:eastAsia="Calibri"/>
        </w:rPr>
        <w:t xml:space="preserve">hazards are identified, communicated </w:t>
      </w:r>
      <w:r w:rsidRPr="00894BDD">
        <w:rPr>
          <w:rFonts w:eastAsia="Calibri"/>
          <w:i/>
        </w:rPr>
        <w:t>and</w:t>
      </w:r>
      <w:r w:rsidRPr="00894BDD">
        <w:rPr>
          <w:rFonts w:eastAsia="Calibri"/>
        </w:rPr>
        <w:t xml:space="preserve"> address</w:t>
      </w:r>
      <w:r>
        <w:rPr>
          <w:rFonts w:eastAsia="Calibri"/>
        </w:rPr>
        <w:t>ed</w:t>
      </w:r>
      <w:r w:rsidRPr="00894BDD">
        <w:rPr>
          <w:rFonts w:eastAsia="Calibri"/>
        </w:rPr>
        <w:t xml:space="preserve"> in a robust manner.</w:t>
      </w:r>
    </w:p>
    <w:p w:rsidR="00081422" w:rsidRPr="00894BDD" w:rsidRDefault="00081422" w:rsidP="00081422">
      <w:pPr>
        <w:spacing w:after="160" w:line="259" w:lineRule="auto"/>
        <w:rPr>
          <w:rFonts w:eastAsia="Calibri"/>
        </w:rPr>
      </w:pPr>
      <w:r>
        <w:rPr>
          <w:rFonts w:eastAsia="Calibri"/>
        </w:rPr>
        <w:t>At the same time, the fitness check aims to examine the “</w:t>
      </w:r>
      <w:r w:rsidRPr="00546CE8">
        <w:rPr>
          <w:rFonts w:eastAsia="Calibri"/>
        </w:rPr>
        <w:t>merits and shortcomings</w:t>
      </w:r>
      <w:r>
        <w:rPr>
          <w:rFonts w:eastAsia="Calibri"/>
        </w:rPr>
        <w:t xml:space="preserve">” of risk management approaches based on </w:t>
      </w:r>
      <w:r w:rsidRPr="004501ED">
        <w:rPr>
          <w:rFonts w:eastAsia="Calibri"/>
          <w:bCs/>
        </w:rPr>
        <w:t xml:space="preserve">generic risk considerations </w:t>
      </w:r>
      <w:r>
        <w:rPr>
          <w:rFonts w:eastAsia="Calibri"/>
          <w:bCs/>
        </w:rPr>
        <w:t>and</w:t>
      </w:r>
      <w:r w:rsidRPr="004501ED">
        <w:rPr>
          <w:rFonts w:eastAsia="Calibri"/>
          <w:bCs/>
        </w:rPr>
        <w:t xml:space="preserve"> specific risk assessment</w:t>
      </w:r>
      <w:r>
        <w:rPr>
          <w:rFonts w:eastAsia="Calibri"/>
          <w:bCs/>
        </w:rPr>
        <w:t>s</w:t>
      </w:r>
      <w:r w:rsidR="0031473E">
        <w:rPr>
          <w:rStyle w:val="FootnoteReference"/>
          <w:rFonts w:eastAsia="Calibri"/>
          <w:bCs/>
        </w:rPr>
        <w:footnoteReference w:id="7"/>
      </w:r>
      <w:r>
        <w:rPr>
          <w:rFonts w:eastAsia="Calibri"/>
          <w:bCs/>
        </w:rPr>
        <w:t xml:space="preserve"> – also known as the distinction between </w:t>
      </w:r>
      <w:r>
        <w:rPr>
          <w:rFonts w:eastAsia="Calibri"/>
        </w:rPr>
        <w:t>hazard-based and risk-based approaches.</w:t>
      </w:r>
      <w:r>
        <w:rPr>
          <w:rStyle w:val="FootnoteReference"/>
          <w:rFonts w:eastAsia="Calibri"/>
        </w:rPr>
        <w:footnoteReference w:id="8"/>
      </w:r>
      <w:r>
        <w:rPr>
          <w:rFonts w:eastAsia="Calibri"/>
        </w:rPr>
        <w:t xml:space="preserve"> Combined with </w:t>
      </w:r>
      <w:r w:rsidRPr="00811409">
        <w:rPr>
          <w:rFonts w:eastAsia="Calibri"/>
        </w:rPr>
        <w:t xml:space="preserve">the </w:t>
      </w:r>
      <w:r>
        <w:rPr>
          <w:rFonts w:eastAsia="Calibri"/>
        </w:rPr>
        <w:t xml:space="preserve">strong </w:t>
      </w:r>
      <w:r w:rsidRPr="00811409">
        <w:rPr>
          <w:rFonts w:eastAsia="Calibri"/>
        </w:rPr>
        <w:t>focus on costs to industry – r</w:t>
      </w:r>
      <w:r>
        <w:rPr>
          <w:rFonts w:eastAsia="Calibri"/>
        </w:rPr>
        <w:t xml:space="preserve">ather than consumer protection – we are concerned that the fitness check will fail to generate a valid assessment of the two risk management approaches adopted in EU chemicals legislation. </w:t>
      </w:r>
    </w:p>
    <w:p w:rsidR="00155A57" w:rsidRPr="00894BDD" w:rsidRDefault="00B25B1C" w:rsidP="00141DA3">
      <w:pPr>
        <w:spacing w:after="160" w:line="259" w:lineRule="auto"/>
        <w:rPr>
          <w:rFonts w:eastAsia="Calibri"/>
        </w:rPr>
      </w:pPr>
      <w:r>
        <w:rPr>
          <w:rFonts w:eastAsia="Calibri"/>
        </w:rPr>
        <w:t>Based on the documents released by the Commission to date, including the original tender specifications,</w:t>
      </w:r>
      <w:r>
        <w:rPr>
          <w:rStyle w:val="FootnoteReference"/>
          <w:rFonts w:eastAsia="Calibri"/>
        </w:rPr>
        <w:footnoteReference w:id="9"/>
      </w:r>
      <w:r>
        <w:rPr>
          <w:rFonts w:eastAsia="Calibri"/>
        </w:rPr>
        <w:t xml:space="preserve"> </w:t>
      </w:r>
      <w:r w:rsidRPr="00894BDD">
        <w:rPr>
          <w:rFonts w:eastAsia="Calibri"/>
        </w:rPr>
        <w:t xml:space="preserve">the fitness check </w:t>
      </w:r>
      <w:r>
        <w:rPr>
          <w:rFonts w:eastAsia="Calibri"/>
        </w:rPr>
        <w:t>appears</w:t>
      </w:r>
      <w:r w:rsidRPr="00894BDD">
        <w:rPr>
          <w:rFonts w:eastAsia="Calibri"/>
        </w:rPr>
        <w:t xml:space="preserve"> specifically designed to generate evidence to support one particular conclusion</w:t>
      </w:r>
      <w:r w:rsidR="00155A57" w:rsidRPr="00894BDD">
        <w:rPr>
          <w:rFonts w:eastAsia="Calibri"/>
        </w:rPr>
        <w:t xml:space="preserve">: that hazard-based standards are disproportionately burdensome to industry. We reject this premise and instead insist that the fitness check needs to focus on how the EU can strengthen – not weaken – the legislative framework </w:t>
      </w:r>
      <w:r w:rsidR="00155A57">
        <w:rPr>
          <w:rFonts w:eastAsia="Calibri"/>
        </w:rPr>
        <w:t xml:space="preserve">protecting consumers from harmful </w:t>
      </w:r>
      <w:r w:rsidR="00155A57" w:rsidRPr="00894BDD">
        <w:rPr>
          <w:rFonts w:eastAsia="Calibri"/>
        </w:rPr>
        <w:t>chemicals.</w:t>
      </w:r>
    </w:p>
    <w:p w:rsidR="00240314" w:rsidRDefault="008E3B15" w:rsidP="00141DA3">
      <w:pPr>
        <w:spacing w:after="160" w:line="259" w:lineRule="auto"/>
        <w:rPr>
          <w:rFonts w:eastAsia="Calibri"/>
        </w:rPr>
      </w:pPr>
      <w:r>
        <w:rPr>
          <w:rFonts w:eastAsia="Calibri"/>
          <w:b/>
        </w:rPr>
        <w:t>T</w:t>
      </w:r>
      <w:r w:rsidR="00141DA3" w:rsidRPr="009A51E6">
        <w:rPr>
          <w:rFonts w:eastAsia="Calibri"/>
          <w:b/>
        </w:rPr>
        <w:t xml:space="preserve">he EU should apply a </w:t>
      </w:r>
      <w:r w:rsidR="0031473E" w:rsidRPr="009A51E6">
        <w:rPr>
          <w:rFonts w:eastAsia="Calibri"/>
          <w:b/>
        </w:rPr>
        <w:t>precautionary</w:t>
      </w:r>
      <w:r w:rsidR="00141DA3" w:rsidRPr="009A51E6">
        <w:rPr>
          <w:rFonts w:eastAsia="Calibri"/>
          <w:b/>
        </w:rPr>
        <w:t xml:space="preserve"> approach </w:t>
      </w:r>
      <w:r w:rsidR="002A35E7" w:rsidRPr="009A51E6">
        <w:rPr>
          <w:rFonts w:eastAsia="Calibri"/>
          <w:b/>
        </w:rPr>
        <w:t xml:space="preserve">in </w:t>
      </w:r>
      <w:r w:rsidR="00141DA3" w:rsidRPr="009A51E6">
        <w:rPr>
          <w:rFonts w:eastAsia="Calibri"/>
          <w:b/>
        </w:rPr>
        <w:t>all consumer relevant chemicals legislation.</w:t>
      </w:r>
      <w:r w:rsidR="00141DA3" w:rsidRPr="00894BDD">
        <w:rPr>
          <w:rFonts w:eastAsia="Calibri"/>
        </w:rPr>
        <w:t xml:space="preserve"> </w:t>
      </w:r>
      <w:r w:rsidR="006C31FB">
        <w:rPr>
          <w:rFonts w:eastAsia="Calibri"/>
        </w:rPr>
        <w:t>H</w:t>
      </w:r>
      <w:r w:rsidR="00141DA3" w:rsidRPr="00894BDD">
        <w:rPr>
          <w:rFonts w:eastAsia="Calibri"/>
        </w:rPr>
        <w:t xml:space="preserve">azard-based </w:t>
      </w:r>
      <w:r w:rsidR="006C31FB">
        <w:rPr>
          <w:rFonts w:eastAsia="Calibri"/>
        </w:rPr>
        <w:t xml:space="preserve">standards </w:t>
      </w:r>
      <w:r w:rsidR="00141DA3" w:rsidRPr="00894BDD">
        <w:rPr>
          <w:rFonts w:eastAsia="Calibri"/>
        </w:rPr>
        <w:t xml:space="preserve">allow the EU to ban certain groups of chemicals at once based on their intrinsic properties, such as for instance CMRs in cosmetics or toys. </w:t>
      </w:r>
      <w:r w:rsidR="006C31FB">
        <w:rPr>
          <w:rFonts w:eastAsia="Calibri"/>
        </w:rPr>
        <w:t xml:space="preserve">Greater reliance on </w:t>
      </w:r>
      <w:r w:rsidR="00986476">
        <w:rPr>
          <w:rFonts w:eastAsia="Calibri"/>
        </w:rPr>
        <w:t xml:space="preserve">hazard-based standards </w:t>
      </w:r>
      <w:r w:rsidR="00141DA3" w:rsidRPr="00894BDD">
        <w:rPr>
          <w:rFonts w:eastAsia="Calibri"/>
        </w:rPr>
        <w:t xml:space="preserve">would </w:t>
      </w:r>
      <w:r w:rsidR="00986476">
        <w:rPr>
          <w:rFonts w:eastAsia="Calibri"/>
        </w:rPr>
        <w:t xml:space="preserve">therefore </w:t>
      </w:r>
      <w:r w:rsidR="00141DA3" w:rsidRPr="00894BDD">
        <w:rPr>
          <w:rFonts w:eastAsia="Calibri"/>
        </w:rPr>
        <w:t xml:space="preserve">greatly speed up the implementation of legislation meant to protect consumers. </w:t>
      </w:r>
      <w:r w:rsidR="004160C4">
        <w:rPr>
          <w:rFonts w:eastAsia="Calibri"/>
        </w:rPr>
        <w:t>W</w:t>
      </w:r>
      <w:r w:rsidR="006C31FB">
        <w:rPr>
          <w:rFonts w:eastAsia="Calibri"/>
        </w:rPr>
        <w:t xml:space="preserve">e further insist that </w:t>
      </w:r>
      <w:r w:rsidR="00986476">
        <w:rPr>
          <w:rFonts w:eastAsia="Calibri"/>
        </w:rPr>
        <w:t xml:space="preserve">all relevant chemicals legislation should place </w:t>
      </w:r>
      <w:r w:rsidR="006C31FB">
        <w:rPr>
          <w:rFonts w:eastAsia="Calibri"/>
        </w:rPr>
        <w:t xml:space="preserve">the burden of proof on the </w:t>
      </w:r>
      <w:r w:rsidR="00986476">
        <w:rPr>
          <w:rFonts w:eastAsia="Calibri"/>
        </w:rPr>
        <w:t xml:space="preserve">economic operator, including responsibility for providing sufficient evidence to demonstrate safe </w:t>
      </w:r>
      <w:r w:rsidR="00986476" w:rsidRPr="00D2439C">
        <w:rPr>
          <w:rFonts w:eastAsia="Calibri"/>
        </w:rPr>
        <w:t>use</w:t>
      </w:r>
      <w:r w:rsidR="006C31FB" w:rsidRPr="00D2439C">
        <w:rPr>
          <w:rFonts w:eastAsia="Calibri"/>
        </w:rPr>
        <w:t>.</w:t>
      </w:r>
      <w:r w:rsidR="00471F9A">
        <w:rPr>
          <w:rFonts w:eastAsia="Calibri"/>
        </w:rPr>
        <w:t xml:space="preserve"> </w:t>
      </w:r>
      <w:r w:rsidR="00407167" w:rsidRPr="00D2439C">
        <w:rPr>
          <w:rFonts w:eastAsia="Calibri"/>
        </w:rPr>
        <w:t>However, unlike the current prevailing REACH practice the evidence must be independently</w:t>
      </w:r>
      <w:r w:rsidR="00407167" w:rsidRPr="00407167">
        <w:rPr>
          <w:rFonts w:eastAsia="Calibri"/>
        </w:rPr>
        <w:t xml:space="preserve"> verified rather than relying on an industry self-assessments. This could be done, for instance, by introducing hazard based exclusions (e.g. for CMRs) with possible derogations or approval systems for (certain) chemicals in consumer products (following the e</w:t>
      </w:r>
      <w:bookmarkStart w:id="0" w:name="_GoBack"/>
      <w:bookmarkEnd w:id="0"/>
      <w:r w:rsidR="00407167" w:rsidRPr="00407167">
        <w:rPr>
          <w:rFonts w:eastAsia="Calibri"/>
        </w:rPr>
        <w:t xml:space="preserve">xample of colourants, </w:t>
      </w:r>
      <w:r w:rsidR="00407167" w:rsidRPr="00407167">
        <w:rPr>
          <w:rFonts w:eastAsia="Calibri"/>
        </w:rPr>
        <w:lastRenderedPageBreak/>
        <w:t>preservatives and UV filters in cosmetics). For both measures evidence should be provided by industry followed by judgements of scientific committees.</w:t>
      </w:r>
    </w:p>
    <w:p w:rsidR="00141DA3" w:rsidRPr="00894BDD" w:rsidRDefault="00141DA3" w:rsidP="00141DA3">
      <w:pPr>
        <w:spacing w:after="160" w:line="259" w:lineRule="auto"/>
        <w:rPr>
          <w:rFonts w:eastAsia="Calibri"/>
        </w:rPr>
      </w:pPr>
      <w:r w:rsidRPr="00894BDD">
        <w:rPr>
          <w:rFonts w:eastAsia="Calibri"/>
        </w:rPr>
        <w:t>Most risk</w:t>
      </w:r>
      <w:r w:rsidR="00240314">
        <w:rPr>
          <w:rFonts w:eastAsia="Calibri"/>
        </w:rPr>
        <w:t>-</w:t>
      </w:r>
      <w:r w:rsidRPr="00894BDD">
        <w:rPr>
          <w:rFonts w:eastAsia="Calibri"/>
        </w:rPr>
        <w:t xml:space="preserve">based </w:t>
      </w:r>
      <w:r w:rsidR="00240314">
        <w:rPr>
          <w:rFonts w:eastAsia="Calibri"/>
        </w:rPr>
        <w:t>standards</w:t>
      </w:r>
      <w:r w:rsidRPr="00894BDD">
        <w:rPr>
          <w:rFonts w:eastAsia="Calibri"/>
        </w:rPr>
        <w:t xml:space="preserve"> by contrast fall short </w:t>
      </w:r>
      <w:r w:rsidR="00986476">
        <w:rPr>
          <w:rFonts w:eastAsia="Calibri"/>
        </w:rPr>
        <w:t>of</w:t>
      </w:r>
      <w:r w:rsidR="00986476" w:rsidRPr="00894BDD">
        <w:rPr>
          <w:rFonts w:eastAsia="Calibri"/>
        </w:rPr>
        <w:t xml:space="preserve"> </w:t>
      </w:r>
      <w:r w:rsidRPr="00894BDD">
        <w:rPr>
          <w:rFonts w:eastAsia="Calibri"/>
        </w:rPr>
        <w:t>provid</w:t>
      </w:r>
      <w:r w:rsidR="00986476">
        <w:rPr>
          <w:rFonts w:eastAsia="Calibri"/>
        </w:rPr>
        <w:t>ing</w:t>
      </w:r>
      <w:r w:rsidRPr="00894BDD">
        <w:rPr>
          <w:rFonts w:eastAsia="Calibri"/>
        </w:rPr>
        <w:t xml:space="preserve"> a sufficient level of safety. We know from experience that these methods are slow, expensive and inefficient and that they fail to provide adequate protection of consumers.</w:t>
      </w:r>
      <w:r w:rsidR="00240314">
        <w:rPr>
          <w:rStyle w:val="FootnoteReference"/>
          <w:rFonts w:eastAsia="Calibri"/>
        </w:rPr>
        <w:footnoteReference w:id="10"/>
      </w:r>
      <w:r w:rsidRPr="00894BDD">
        <w:rPr>
          <w:rFonts w:eastAsia="Calibri"/>
        </w:rPr>
        <w:t xml:space="preserve"> We therefore </w:t>
      </w:r>
      <w:r w:rsidR="00986476">
        <w:rPr>
          <w:rFonts w:eastAsia="Calibri"/>
        </w:rPr>
        <w:t>reject</w:t>
      </w:r>
      <w:r w:rsidRPr="00894BDD">
        <w:rPr>
          <w:rFonts w:eastAsia="Calibri"/>
        </w:rPr>
        <w:t xml:space="preserve"> wider use of such risk management methods</w:t>
      </w:r>
      <w:r w:rsidR="00240314">
        <w:rPr>
          <w:rFonts w:eastAsia="Calibri"/>
        </w:rPr>
        <w:t xml:space="preserve"> in EU </w:t>
      </w:r>
      <w:r w:rsidR="008E79B7">
        <w:rPr>
          <w:rFonts w:eastAsia="Calibri"/>
        </w:rPr>
        <w:t>chemicals and chemicals-related legislation</w:t>
      </w:r>
      <w:r w:rsidRPr="00894BDD">
        <w:rPr>
          <w:rFonts w:eastAsia="Calibri"/>
        </w:rPr>
        <w:t xml:space="preserve">. </w:t>
      </w:r>
    </w:p>
    <w:p w:rsidR="008E79B7" w:rsidRDefault="008E79B7" w:rsidP="008E79B7">
      <w:pPr>
        <w:rPr>
          <w:rFonts w:eastAsia="Calibri"/>
        </w:rPr>
      </w:pPr>
    </w:p>
    <w:p w:rsidR="00836BEC" w:rsidRPr="00385212" w:rsidRDefault="008E79B7" w:rsidP="00D46EA3">
      <w:pPr>
        <w:pStyle w:val="Heading1"/>
        <w:rPr>
          <w:rFonts w:eastAsia="Calibri"/>
        </w:rPr>
      </w:pPr>
      <w:r>
        <w:t xml:space="preserve">The fitness check </w:t>
      </w:r>
      <w:r w:rsidR="000C48F4">
        <w:t>distract</w:t>
      </w:r>
      <w:r w:rsidR="001C17CA">
        <w:t>s</w:t>
      </w:r>
      <w:r w:rsidR="00385212">
        <w:t xml:space="preserve"> the EU</w:t>
      </w:r>
      <w:r w:rsidR="001C17CA">
        <w:t xml:space="preserve"> from needed action on chemicals </w:t>
      </w:r>
      <w:r w:rsidR="00385212">
        <w:t xml:space="preserve"> </w:t>
      </w:r>
    </w:p>
    <w:p w:rsidR="00C63E43" w:rsidRDefault="00B80FFC" w:rsidP="00385212">
      <w:pPr>
        <w:rPr>
          <w:rFonts w:eastAsia="Calibri"/>
        </w:rPr>
      </w:pPr>
      <w:r>
        <w:rPr>
          <w:rFonts w:eastAsia="Calibri"/>
        </w:rPr>
        <w:t xml:space="preserve">Beyond 2018, </w:t>
      </w:r>
      <w:r w:rsidR="00385212">
        <w:rPr>
          <w:rFonts w:eastAsia="Calibri"/>
        </w:rPr>
        <w:t xml:space="preserve">EU </w:t>
      </w:r>
      <w:r>
        <w:rPr>
          <w:rFonts w:eastAsia="Calibri"/>
        </w:rPr>
        <w:t xml:space="preserve">chemicals policy aims </w:t>
      </w:r>
      <w:r w:rsidR="00385212">
        <w:rPr>
          <w:rFonts w:eastAsia="Calibri"/>
        </w:rPr>
        <w:t xml:space="preserve">to </w:t>
      </w:r>
      <w:r w:rsidR="00385212" w:rsidRPr="00385212">
        <w:rPr>
          <w:rFonts w:eastAsia="Calibri"/>
        </w:rPr>
        <w:t>achieve a non-toxic environment that is conducive to public health, innovation and the development of sustainable substitutes.</w:t>
      </w:r>
      <w:r w:rsidR="008E3B15">
        <w:rPr>
          <w:rStyle w:val="FootnoteReference"/>
          <w:rFonts w:eastAsia="Calibri"/>
        </w:rPr>
        <w:footnoteReference w:id="11"/>
      </w:r>
      <w:r w:rsidR="00BE4849">
        <w:rPr>
          <w:rFonts w:eastAsia="Calibri"/>
        </w:rPr>
        <w:t xml:space="preserve"> </w:t>
      </w:r>
      <w:r w:rsidR="001C17CA">
        <w:rPr>
          <w:rFonts w:eastAsia="Calibri"/>
        </w:rPr>
        <w:t>A</w:t>
      </w:r>
      <w:r w:rsidR="00BE4849">
        <w:rPr>
          <w:rFonts w:eastAsia="Calibri"/>
        </w:rPr>
        <w:t xml:space="preserve">ll available evidence </w:t>
      </w:r>
      <w:r w:rsidR="001C17CA">
        <w:rPr>
          <w:rFonts w:eastAsia="Calibri"/>
        </w:rPr>
        <w:t xml:space="preserve">however </w:t>
      </w:r>
      <w:r w:rsidR="00BE4849">
        <w:rPr>
          <w:rFonts w:eastAsia="Calibri"/>
        </w:rPr>
        <w:t xml:space="preserve">suggests that </w:t>
      </w:r>
      <w:r w:rsidR="00C63E43">
        <w:rPr>
          <w:rFonts w:eastAsia="Calibri"/>
        </w:rPr>
        <w:t xml:space="preserve">the EU is falling short of this </w:t>
      </w:r>
      <w:r w:rsidR="005A5948">
        <w:rPr>
          <w:rFonts w:eastAsia="Calibri"/>
        </w:rPr>
        <w:t>mark</w:t>
      </w:r>
      <w:r w:rsidR="00C63E43">
        <w:rPr>
          <w:rFonts w:eastAsia="Calibri"/>
        </w:rPr>
        <w:t xml:space="preserve">: </w:t>
      </w:r>
      <w:r w:rsidR="00BE4849">
        <w:rPr>
          <w:rFonts w:eastAsia="Calibri"/>
        </w:rPr>
        <w:t>c</w:t>
      </w:r>
      <w:r w:rsidR="00BE4849">
        <w:t xml:space="preserve">hronic and severe </w:t>
      </w:r>
      <w:r w:rsidR="00BE4849" w:rsidRPr="00BE4849">
        <w:t xml:space="preserve">diseases </w:t>
      </w:r>
      <w:r w:rsidR="00C63E43">
        <w:t xml:space="preserve">attributable to chemicals exposure </w:t>
      </w:r>
      <w:r w:rsidR="00BE4849" w:rsidRPr="00BE4849">
        <w:t xml:space="preserve">such as cancer, cardiovascular diseases, fertility problems, obesity and allergies are on the rise in the EU. </w:t>
      </w:r>
      <w:r w:rsidR="00BE4849" w:rsidRPr="00BE4849">
        <w:rPr>
          <w:iCs/>
        </w:rPr>
        <w:t>Harmful chemicals are found in many products consumers come in very close, frequent and prolonged contact with, such as clothes, kitchen tools, toys, cosmetics, and the list goes on.</w:t>
      </w:r>
      <w:r w:rsidR="00BE4849" w:rsidRPr="00BE4849">
        <w:rPr>
          <w:rFonts w:eastAsia="Calibri"/>
        </w:rPr>
        <w:t xml:space="preserve"> Chemical pollutants are further widespread in the air we breathe, the food we eat and the water we drink.</w:t>
      </w:r>
      <w:r w:rsidR="00C63E43">
        <w:rPr>
          <w:rFonts w:eastAsia="Calibri"/>
        </w:rPr>
        <w:t xml:space="preserve"> </w:t>
      </w:r>
      <w:r w:rsidR="00C63E43" w:rsidRPr="00C63E43">
        <w:rPr>
          <w:rFonts w:eastAsia="Calibri"/>
        </w:rPr>
        <w:t>A renewed drive to stem the growing toxics exposure is urgently needed if we want to achieve the vision for a non-toxic environment outlined in the EU’s 7</w:t>
      </w:r>
      <w:r w:rsidR="00C63E43" w:rsidRPr="005A5948">
        <w:rPr>
          <w:rFonts w:eastAsia="Calibri"/>
          <w:vertAlign w:val="superscript"/>
        </w:rPr>
        <w:t>th</w:t>
      </w:r>
      <w:r w:rsidR="005A5948">
        <w:rPr>
          <w:rFonts w:eastAsia="Calibri"/>
        </w:rPr>
        <w:t xml:space="preserve"> </w:t>
      </w:r>
      <w:r w:rsidR="00C63E43" w:rsidRPr="00C63E43">
        <w:rPr>
          <w:rFonts w:eastAsia="Calibri"/>
        </w:rPr>
        <w:t>Environmental Action Programme.</w:t>
      </w:r>
      <w:r w:rsidR="00C63E43">
        <w:rPr>
          <w:rStyle w:val="FootnoteReference"/>
          <w:rFonts w:eastAsia="Calibri"/>
        </w:rPr>
        <w:footnoteReference w:id="12"/>
      </w:r>
    </w:p>
    <w:p w:rsidR="00BE4849" w:rsidRDefault="00BE4849" w:rsidP="00385212">
      <w:pPr>
        <w:rPr>
          <w:rFonts w:eastAsia="Calibri"/>
        </w:rPr>
      </w:pPr>
    </w:p>
    <w:p w:rsidR="00C63E43" w:rsidRPr="00D52B2C" w:rsidRDefault="00C63E43" w:rsidP="00C63E43">
      <w:pPr>
        <w:rPr>
          <w:rFonts w:eastAsia="Calibri"/>
        </w:rPr>
      </w:pPr>
      <w:r>
        <w:rPr>
          <w:rFonts w:eastAsia="Calibri"/>
        </w:rPr>
        <w:t xml:space="preserve">In this light, </w:t>
      </w:r>
      <w:r w:rsidRPr="009A51E6">
        <w:rPr>
          <w:rFonts w:eastAsia="Calibri"/>
          <w:b/>
        </w:rPr>
        <w:t>the flawed fitness check of EU chemicals legislation diverts political attention and scares resources from a progressive EU agenda on harmful chemicals.</w:t>
      </w:r>
      <w:r>
        <w:rPr>
          <w:rFonts w:eastAsia="Calibri"/>
        </w:rPr>
        <w:t xml:space="preserve"> </w:t>
      </w:r>
      <w:r w:rsidR="005A5948">
        <w:rPr>
          <w:rFonts w:eastAsia="Calibri"/>
        </w:rPr>
        <w:t>T</w:t>
      </w:r>
      <w:r w:rsidR="00924FA5">
        <w:rPr>
          <w:rFonts w:eastAsia="Calibri"/>
        </w:rPr>
        <w:t xml:space="preserve">he </w:t>
      </w:r>
      <w:r w:rsidR="004D37C3">
        <w:rPr>
          <w:rFonts w:eastAsia="Calibri"/>
        </w:rPr>
        <w:t xml:space="preserve">EU chemicals </w:t>
      </w:r>
      <w:r w:rsidR="004D37C3">
        <w:rPr>
          <w:rFonts w:eastAsia="Calibri"/>
          <w:i/>
        </w:rPr>
        <w:t xml:space="preserve">acquis </w:t>
      </w:r>
      <w:r w:rsidR="004D37C3">
        <w:rPr>
          <w:rFonts w:eastAsia="Calibri"/>
        </w:rPr>
        <w:t xml:space="preserve">is </w:t>
      </w:r>
      <w:r w:rsidRPr="00D52B2C">
        <w:rPr>
          <w:rFonts w:eastAsia="Calibri"/>
        </w:rPr>
        <w:t>inadequate in multiple ways</w:t>
      </w:r>
      <w:r w:rsidR="00924FA5">
        <w:rPr>
          <w:rFonts w:eastAsia="Calibri"/>
        </w:rPr>
        <w:t xml:space="preserve"> </w:t>
      </w:r>
      <w:r w:rsidR="00DB540F">
        <w:rPr>
          <w:rFonts w:eastAsia="Calibri"/>
        </w:rPr>
        <w:t>that requires urgent attention.</w:t>
      </w:r>
      <w:r w:rsidRPr="00D52B2C">
        <w:rPr>
          <w:rFonts w:eastAsia="Calibri"/>
        </w:rPr>
        <w:t xml:space="preserve"> </w:t>
      </w:r>
    </w:p>
    <w:p w:rsidR="00BE4849" w:rsidRDefault="00BE4849" w:rsidP="00385212"/>
    <w:p w:rsidR="00924FA5" w:rsidRPr="00836BEC" w:rsidRDefault="00924FA5" w:rsidP="00924FA5">
      <w:pPr>
        <w:rPr>
          <w:rFonts w:eastAsia="Calibri"/>
        </w:rPr>
      </w:pPr>
      <w:r>
        <w:t xml:space="preserve">First, </w:t>
      </w:r>
      <w:r w:rsidR="005A5948">
        <w:t>robust</w:t>
      </w:r>
      <w:r w:rsidRPr="00836BEC">
        <w:rPr>
          <w:rFonts w:eastAsia="Calibri"/>
        </w:rPr>
        <w:t xml:space="preserve"> chemical provisions are </w:t>
      </w:r>
      <w:r>
        <w:rPr>
          <w:rFonts w:eastAsia="Calibri"/>
        </w:rPr>
        <w:t xml:space="preserve">largely </w:t>
      </w:r>
      <w:r w:rsidRPr="00836BEC">
        <w:rPr>
          <w:rFonts w:eastAsia="Calibri"/>
        </w:rPr>
        <w:t xml:space="preserve">non-existent for many consumers </w:t>
      </w:r>
      <w:r w:rsidR="005A5948" w:rsidRPr="00836BEC">
        <w:rPr>
          <w:rFonts w:eastAsia="Calibri"/>
        </w:rPr>
        <w:t>products</w:t>
      </w:r>
      <w:r w:rsidRPr="00836BEC">
        <w:rPr>
          <w:rFonts w:eastAsia="Calibri"/>
        </w:rPr>
        <w:t>, such as materials in contact with drinking water, products releasing emissions to indoor air, clothing and other consumer textiles, child use and care articles, other articles for children, tattoo inks, personal protective equipment, furniture, sports and playground surfaces and equipment, car interiors etc.</w:t>
      </w:r>
      <w:r>
        <w:rPr>
          <w:rStyle w:val="FootnoteReference"/>
          <w:rFonts w:eastAsia="Calibri"/>
        </w:rPr>
        <w:footnoteReference w:id="13"/>
      </w:r>
      <w:r w:rsidRPr="00836BEC">
        <w:rPr>
          <w:rFonts w:eastAsia="Calibri"/>
        </w:rPr>
        <w:t xml:space="preserve"> REACH does not, and will not, compensate for these deficits</w:t>
      </w:r>
      <w:r w:rsidRPr="00924FA5">
        <w:rPr>
          <w:rFonts w:eastAsia="Calibri"/>
        </w:rPr>
        <w:t xml:space="preserve"> as </w:t>
      </w:r>
      <w:r w:rsidR="00D06C1B">
        <w:rPr>
          <w:rFonts w:eastAsia="Calibri"/>
        </w:rPr>
        <w:t>‘</w:t>
      </w:r>
      <w:r w:rsidRPr="00836BEC">
        <w:rPr>
          <w:rFonts w:eastAsia="Calibri"/>
        </w:rPr>
        <w:t>articles</w:t>
      </w:r>
      <w:r w:rsidR="00D06C1B">
        <w:rPr>
          <w:rFonts w:eastAsia="Calibri"/>
        </w:rPr>
        <w:t>’</w:t>
      </w:r>
      <w:r w:rsidRPr="00836BEC">
        <w:rPr>
          <w:rFonts w:eastAsia="Calibri"/>
        </w:rPr>
        <w:t xml:space="preserve"> –</w:t>
      </w:r>
      <w:r>
        <w:rPr>
          <w:rFonts w:eastAsia="Calibri"/>
        </w:rPr>
        <w:t xml:space="preserve"> </w:t>
      </w:r>
      <w:r w:rsidRPr="00836BEC">
        <w:rPr>
          <w:rFonts w:eastAsia="Calibri"/>
        </w:rPr>
        <w:t xml:space="preserve">particularly imported ones </w:t>
      </w:r>
      <w:r>
        <w:rPr>
          <w:rFonts w:eastAsia="Calibri"/>
        </w:rPr>
        <w:t xml:space="preserve">– </w:t>
      </w:r>
      <w:r w:rsidRPr="00836BEC">
        <w:rPr>
          <w:rFonts w:eastAsia="Calibri"/>
        </w:rPr>
        <w:t>are barely covered</w:t>
      </w:r>
      <w:r>
        <w:rPr>
          <w:rFonts w:eastAsia="Calibri"/>
        </w:rPr>
        <w:t xml:space="preserve"> under REACH</w:t>
      </w:r>
      <w:r w:rsidRPr="00836BEC">
        <w:rPr>
          <w:rFonts w:eastAsia="Calibri"/>
        </w:rPr>
        <w:t>.</w:t>
      </w:r>
      <w:r w:rsidR="00FA0576">
        <w:rPr>
          <w:rFonts w:eastAsia="Calibri"/>
        </w:rPr>
        <w:t xml:space="preserve"> Any </w:t>
      </w:r>
      <w:r w:rsidR="0013663B" w:rsidRPr="00FA0576">
        <w:rPr>
          <w:rFonts w:eastAsia="Calibri"/>
        </w:rPr>
        <w:t xml:space="preserve">meaningful strategy </w:t>
      </w:r>
      <w:r w:rsidR="00FA0576">
        <w:rPr>
          <w:rFonts w:eastAsia="Calibri"/>
        </w:rPr>
        <w:t>for</w:t>
      </w:r>
      <w:r w:rsidR="0013663B" w:rsidRPr="00FA0576">
        <w:rPr>
          <w:rFonts w:eastAsia="Calibri"/>
        </w:rPr>
        <w:t xml:space="preserve"> the chemicals area</w:t>
      </w:r>
      <w:r w:rsidR="00FA0576">
        <w:rPr>
          <w:rFonts w:eastAsia="Calibri"/>
        </w:rPr>
        <w:t xml:space="preserve"> therefore </w:t>
      </w:r>
      <w:r w:rsidR="0013663B" w:rsidRPr="00FA0576">
        <w:rPr>
          <w:rFonts w:eastAsia="Calibri"/>
        </w:rPr>
        <w:t>needs a specific approach addressing chemicals in consumer products in sector specific regulation.</w:t>
      </w:r>
    </w:p>
    <w:p w:rsidR="00924FA5" w:rsidRDefault="00924FA5" w:rsidP="00385212"/>
    <w:p w:rsidR="000C48F4" w:rsidRDefault="00924FA5" w:rsidP="008C27A9">
      <w:pPr>
        <w:rPr>
          <w:rFonts w:eastAsia="Calibri"/>
        </w:rPr>
      </w:pPr>
      <w:r>
        <w:t xml:space="preserve">Second, current EU chemicals-related legislation regulating </w:t>
      </w:r>
      <w:r w:rsidRPr="00D52B2C">
        <w:rPr>
          <w:rFonts w:eastAsia="Calibri"/>
        </w:rPr>
        <w:t xml:space="preserve">consumer products </w:t>
      </w:r>
      <w:r w:rsidR="00D210C7">
        <w:rPr>
          <w:rFonts w:eastAsia="Calibri"/>
        </w:rPr>
        <w:t xml:space="preserve">too </w:t>
      </w:r>
      <w:r w:rsidRPr="00D52B2C">
        <w:rPr>
          <w:rFonts w:eastAsia="Calibri"/>
        </w:rPr>
        <w:t xml:space="preserve">often </w:t>
      </w:r>
      <w:r w:rsidR="008C27A9">
        <w:rPr>
          <w:rFonts w:eastAsia="Calibri"/>
        </w:rPr>
        <w:t>fail</w:t>
      </w:r>
      <w:r w:rsidR="00FA0576">
        <w:rPr>
          <w:rFonts w:eastAsia="Calibri"/>
        </w:rPr>
        <w:t xml:space="preserve"> to</w:t>
      </w:r>
      <w:r w:rsidR="008C27A9">
        <w:rPr>
          <w:rFonts w:eastAsia="Calibri"/>
        </w:rPr>
        <w:t xml:space="preserve"> set sufficiently ambitious thresholds </w:t>
      </w:r>
      <w:r w:rsidRPr="00D52B2C">
        <w:rPr>
          <w:rFonts w:eastAsia="Calibri"/>
        </w:rPr>
        <w:t>to ensure adequate protection</w:t>
      </w:r>
      <w:r w:rsidR="008C27A9">
        <w:rPr>
          <w:rFonts w:eastAsia="Calibri"/>
        </w:rPr>
        <w:t xml:space="preserve"> of consumer health</w:t>
      </w:r>
      <w:r w:rsidRPr="00D52B2C">
        <w:rPr>
          <w:rFonts w:eastAsia="Calibri"/>
        </w:rPr>
        <w:t>.</w:t>
      </w:r>
      <w:r w:rsidR="008C27A9">
        <w:rPr>
          <w:rFonts w:eastAsia="Calibri"/>
        </w:rPr>
        <w:t xml:space="preserve"> </w:t>
      </w:r>
      <w:r w:rsidRPr="00D52B2C">
        <w:rPr>
          <w:rFonts w:eastAsia="Calibri"/>
        </w:rPr>
        <w:t>For example, the Toy Safety Directive falls short of adequately protecting children</w:t>
      </w:r>
      <w:r w:rsidR="00D06C1B">
        <w:rPr>
          <w:rFonts w:eastAsia="Calibri"/>
        </w:rPr>
        <w:t xml:space="preserve"> since endocrine-disrupting chemicals or s</w:t>
      </w:r>
      <w:r w:rsidR="00D06C1B" w:rsidRPr="00D06C1B">
        <w:rPr>
          <w:rFonts w:eastAsia="Calibri"/>
        </w:rPr>
        <w:t>ensitizers other than allergenic fragrances are not covered</w:t>
      </w:r>
      <w:r w:rsidR="00D06C1B">
        <w:rPr>
          <w:rFonts w:eastAsia="Calibri"/>
        </w:rPr>
        <w:t>, while r</w:t>
      </w:r>
      <w:r w:rsidR="00D06C1B" w:rsidRPr="00D06C1B">
        <w:rPr>
          <w:rFonts w:eastAsia="Calibri"/>
        </w:rPr>
        <w:t xml:space="preserve">equirements for </w:t>
      </w:r>
      <w:proofErr w:type="spellStart"/>
      <w:r w:rsidR="00D06C1B" w:rsidRPr="00D06C1B">
        <w:rPr>
          <w:rFonts w:eastAsia="Calibri"/>
        </w:rPr>
        <w:t>CMR</w:t>
      </w:r>
      <w:proofErr w:type="spellEnd"/>
      <w:r w:rsidR="00D06C1B" w:rsidRPr="00D06C1B">
        <w:rPr>
          <w:rFonts w:eastAsia="Calibri"/>
        </w:rPr>
        <w:t xml:space="preserve"> substances are not strict enough</w:t>
      </w:r>
      <w:r w:rsidR="00D06C1B">
        <w:rPr>
          <w:rFonts w:eastAsia="Calibri"/>
        </w:rPr>
        <w:t xml:space="preserve">. At the same time, the Directive </w:t>
      </w:r>
      <w:r w:rsidRPr="00D52B2C">
        <w:rPr>
          <w:rFonts w:eastAsia="Calibri"/>
        </w:rPr>
        <w:t xml:space="preserve">lacks </w:t>
      </w:r>
      <w:r w:rsidR="005A5948">
        <w:rPr>
          <w:rFonts w:eastAsia="Calibri"/>
        </w:rPr>
        <w:t xml:space="preserve">a comprehensive </w:t>
      </w:r>
      <w:r w:rsidRPr="00D52B2C">
        <w:rPr>
          <w:rFonts w:eastAsia="Calibri"/>
        </w:rPr>
        <w:t xml:space="preserve">comitology procedure which would allow limits for </w:t>
      </w:r>
      <w:r w:rsidRPr="009A51E6">
        <w:rPr>
          <w:rFonts w:eastAsia="Calibri"/>
          <w:i/>
        </w:rPr>
        <w:t>all</w:t>
      </w:r>
      <w:r w:rsidRPr="00D52B2C">
        <w:rPr>
          <w:rFonts w:eastAsia="Calibri"/>
        </w:rPr>
        <w:t xml:space="preserve"> kinds of substances and </w:t>
      </w:r>
      <w:r w:rsidRPr="009A51E6">
        <w:rPr>
          <w:rFonts w:eastAsia="Calibri"/>
          <w:i/>
        </w:rPr>
        <w:t>all</w:t>
      </w:r>
      <w:r w:rsidRPr="00D52B2C">
        <w:rPr>
          <w:rFonts w:eastAsia="Calibri"/>
        </w:rPr>
        <w:t xml:space="preserve"> kinds of toys </w:t>
      </w:r>
      <w:r w:rsidR="008C27A9">
        <w:rPr>
          <w:rFonts w:eastAsia="Calibri"/>
        </w:rPr>
        <w:t>to be adopted and modified.</w:t>
      </w:r>
      <w:r w:rsidR="00D06C1B">
        <w:rPr>
          <w:rStyle w:val="FootnoteReference"/>
          <w:rFonts w:eastAsia="Calibri"/>
        </w:rPr>
        <w:footnoteReference w:id="14"/>
      </w:r>
      <w:r w:rsidR="008C27A9">
        <w:rPr>
          <w:rFonts w:eastAsia="Calibri"/>
        </w:rPr>
        <w:t xml:space="preserve"> </w:t>
      </w:r>
      <w:r w:rsidR="00FA0576">
        <w:rPr>
          <w:rFonts w:eastAsia="Calibri"/>
        </w:rPr>
        <w:t xml:space="preserve">Strengthening such legislation must be a priority. </w:t>
      </w:r>
    </w:p>
    <w:p w:rsidR="000C48F4" w:rsidRDefault="000C48F4" w:rsidP="00836BEC">
      <w:pPr>
        <w:rPr>
          <w:rFonts w:eastAsia="Calibri"/>
        </w:rPr>
      </w:pPr>
    </w:p>
    <w:p w:rsidR="008C27A9" w:rsidRDefault="008C27A9" w:rsidP="008C27A9">
      <w:pPr>
        <w:rPr>
          <w:rFonts w:eastAsia="Calibri"/>
        </w:rPr>
      </w:pPr>
      <w:r>
        <w:rPr>
          <w:rFonts w:eastAsia="Calibri"/>
        </w:rPr>
        <w:t xml:space="preserve">Third, </w:t>
      </w:r>
      <w:r w:rsidRPr="00D52B2C">
        <w:rPr>
          <w:rFonts w:eastAsia="Calibri"/>
        </w:rPr>
        <w:t>enforce</w:t>
      </w:r>
      <w:r w:rsidR="004D37C3">
        <w:rPr>
          <w:rFonts w:eastAsia="Calibri"/>
        </w:rPr>
        <w:t xml:space="preserve">ment of EU chemical-related legislation </w:t>
      </w:r>
      <w:r w:rsidRPr="00D52B2C">
        <w:rPr>
          <w:rFonts w:eastAsia="Calibri"/>
        </w:rPr>
        <w:t>at Member State level</w:t>
      </w:r>
      <w:r w:rsidR="004D37C3">
        <w:rPr>
          <w:rFonts w:eastAsia="Calibri"/>
        </w:rPr>
        <w:t xml:space="preserve"> remains inadequate</w:t>
      </w:r>
      <w:r w:rsidRPr="00D52B2C">
        <w:rPr>
          <w:rFonts w:eastAsia="Calibri"/>
        </w:rPr>
        <w:t xml:space="preserve">. </w:t>
      </w:r>
      <w:r w:rsidR="004D37C3" w:rsidRPr="004D37C3">
        <w:rPr>
          <w:rFonts w:eastAsia="Calibri"/>
        </w:rPr>
        <w:t xml:space="preserve">The comparative product tests undertaken by </w:t>
      </w:r>
      <w:r w:rsidR="004D37C3">
        <w:rPr>
          <w:rFonts w:eastAsia="Calibri"/>
        </w:rPr>
        <w:t xml:space="preserve">our </w:t>
      </w:r>
      <w:r w:rsidR="004D37C3" w:rsidRPr="004D37C3">
        <w:rPr>
          <w:rFonts w:eastAsia="Calibri"/>
        </w:rPr>
        <w:t xml:space="preserve">members frequently detect unwanted chemicals in </w:t>
      </w:r>
      <w:r w:rsidR="004D37C3">
        <w:rPr>
          <w:rFonts w:eastAsia="Calibri"/>
        </w:rPr>
        <w:t xml:space="preserve">many everyday consumer </w:t>
      </w:r>
      <w:r w:rsidR="004D37C3" w:rsidRPr="004D37C3">
        <w:rPr>
          <w:rFonts w:eastAsia="Calibri"/>
        </w:rPr>
        <w:t>products</w:t>
      </w:r>
      <w:r w:rsidR="004D37C3">
        <w:rPr>
          <w:rFonts w:eastAsia="Calibri"/>
        </w:rPr>
        <w:t>. E</w:t>
      </w:r>
      <w:r w:rsidR="004D37C3" w:rsidRPr="00D52B2C">
        <w:rPr>
          <w:rFonts w:eastAsia="Calibri"/>
        </w:rPr>
        <w:t>very year</w:t>
      </w:r>
      <w:r w:rsidR="004D37C3">
        <w:rPr>
          <w:rFonts w:eastAsia="Calibri"/>
        </w:rPr>
        <w:t>,</w:t>
      </w:r>
      <w:r w:rsidR="004D37C3" w:rsidRPr="00D52B2C">
        <w:rPr>
          <w:rFonts w:eastAsia="Calibri"/>
        </w:rPr>
        <w:t xml:space="preserve"> </w:t>
      </w:r>
      <w:r w:rsidR="004D37C3">
        <w:rPr>
          <w:rFonts w:eastAsia="Calibri"/>
        </w:rPr>
        <w:t>t</w:t>
      </w:r>
      <w:r w:rsidRPr="00D52B2C">
        <w:rPr>
          <w:rFonts w:eastAsia="Calibri"/>
        </w:rPr>
        <w:t xml:space="preserve">he EU </w:t>
      </w:r>
      <w:proofErr w:type="spellStart"/>
      <w:r w:rsidRPr="00D52B2C">
        <w:rPr>
          <w:rFonts w:eastAsia="Calibri"/>
        </w:rPr>
        <w:t>RAPEX</w:t>
      </w:r>
      <w:proofErr w:type="spellEnd"/>
      <w:r w:rsidRPr="00D52B2C">
        <w:rPr>
          <w:rFonts w:eastAsia="Calibri"/>
        </w:rPr>
        <w:t xml:space="preserve"> system</w:t>
      </w:r>
      <w:r w:rsidR="005A5948">
        <w:rPr>
          <w:rFonts w:eastAsia="Calibri"/>
        </w:rPr>
        <w:t xml:space="preserve"> moreover</w:t>
      </w:r>
      <w:r w:rsidR="004D37C3">
        <w:rPr>
          <w:rFonts w:eastAsia="Calibri"/>
        </w:rPr>
        <w:t xml:space="preserve"> contains</w:t>
      </w:r>
      <w:r w:rsidRPr="00D52B2C">
        <w:rPr>
          <w:rFonts w:eastAsia="Calibri"/>
        </w:rPr>
        <w:t xml:space="preserve"> more than 2.000 notifications of dangerous products of which </w:t>
      </w:r>
      <w:r w:rsidR="004D37C3">
        <w:rPr>
          <w:rFonts w:eastAsia="Calibri"/>
        </w:rPr>
        <w:t>some</w:t>
      </w:r>
      <w:r w:rsidRPr="00D52B2C">
        <w:rPr>
          <w:rFonts w:eastAsia="Calibri"/>
        </w:rPr>
        <w:t xml:space="preserve"> 20% can be linked to harmful chemicals. However, this</w:t>
      </w:r>
      <w:r w:rsidR="004D37C3">
        <w:rPr>
          <w:rFonts w:eastAsia="Calibri"/>
        </w:rPr>
        <w:t xml:space="preserve"> figure</w:t>
      </w:r>
      <w:r w:rsidRPr="00D52B2C">
        <w:rPr>
          <w:rFonts w:eastAsia="Calibri"/>
        </w:rPr>
        <w:t xml:space="preserve"> </w:t>
      </w:r>
      <w:r w:rsidR="00D210C7">
        <w:rPr>
          <w:rFonts w:eastAsia="Calibri"/>
        </w:rPr>
        <w:t xml:space="preserve">most likely </w:t>
      </w:r>
      <w:r w:rsidR="005A5948">
        <w:rPr>
          <w:rFonts w:eastAsia="Calibri"/>
        </w:rPr>
        <w:t xml:space="preserve">represents </w:t>
      </w:r>
      <w:r w:rsidRPr="00D52B2C">
        <w:rPr>
          <w:rFonts w:eastAsia="Calibri"/>
        </w:rPr>
        <w:t xml:space="preserve">only the tip of the iceberg as the majority of dangerous products are not detected </w:t>
      </w:r>
      <w:r w:rsidR="004D37C3">
        <w:rPr>
          <w:rFonts w:eastAsia="Calibri"/>
        </w:rPr>
        <w:t xml:space="preserve">as a result </w:t>
      </w:r>
      <w:r w:rsidRPr="00D52B2C">
        <w:rPr>
          <w:rFonts w:eastAsia="Calibri"/>
        </w:rPr>
        <w:t xml:space="preserve">of inefficient and ineffective market surveillance and a lack of clear rules with regard to chemicals in consumer products. </w:t>
      </w:r>
    </w:p>
    <w:p w:rsidR="00D52B2C" w:rsidRDefault="00D52B2C" w:rsidP="008E79B7">
      <w:pPr>
        <w:rPr>
          <w:rFonts w:eastAsia="Calibri"/>
        </w:rPr>
      </w:pPr>
    </w:p>
    <w:p w:rsidR="00DB540F" w:rsidRDefault="004D37C3" w:rsidP="00DB540F">
      <w:pPr>
        <w:rPr>
          <w:rFonts w:eastAsia="Calibri"/>
        </w:rPr>
      </w:pPr>
      <w:r>
        <w:rPr>
          <w:rFonts w:eastAsia="Calibri"/>
        </w:rPr>
        <w:t>Fourth,</w:t>
      </w:r>
      <w:r w:rsidR="00DB540F">
        <w:rPr>
          <w:rFonts w:eastAsia="Calibri"/>
        </w:rPr>
        <w:t xml:space="preserve"> </w:t>
      </w:r>
      <w:r w:rsidR="00DB540F" w:rsidRPr="00D52B2C">
        <w:rPr>
          <w:rFonts w:eastAsia="Calibri"/>
        </w:rPr>
        <w:t>hormone-disrupting chemicals</w:t>
      </w:r>
      <w:r w:rsidR="00CF4BA9">
        <w:rPr>
          <w:rFonts w:eastAsia="Calibri"/>
        </w:rPr>
        <w:t xml:space="preserve"> </w:t>
      </w:r>
      <w:r w:rsidR="00CF4BA9" w:rsidRPr="00D52B2C">
        <w:rPr>
          <w:rFonts w:eastAsia="Calibri"/>
        </w:rPr>
        <w:t>(EDCs)</w:t>
      </w:r>
      <w:r w:rsidR="00DB540F" w:rsidRPr="00D52B2C">
        <w:rPr>
          <w:rFonts w:eastAsia="Calibri"/>
        </w:rPr>
        <w:t>, combination and low dosage effects of chemicals,</w:t>
      </w:r>
      <w:r w:rsidR="00DB540F">
        <w:rPr>
          <w:rFonts w:eastAsia="Calibri"/>
        </w:rPr>
        <w:t xml:space="preserve"> </w:t>
      </w:r>
      <w:r w:rsidR="00DB540F" w:rsidRPr="00D52B2C">
        <w:rPr>
          <w:rFonts w:eastAsia="Calibri"/>
        </w:rPr>
        <w:t>nanomaterials</w:t>
      </w:r>
      <w:r w:rsidR="00DB540F">
        <w:rPr>
          <w:rFonts w:eastAsia="Calibri"/>
        </w:rPr>
        <w:t>, and sensitizers</w:t>
      </w:r>
      <w:r w:rsidR="00DB540F" w:rsidRPr="00D52B2C">
        <w:rPr>
          <w:rFonts w:eastAsia="Calibri"/>
        </w:rPr>
        <w:t xml:space="preserve"> represent risks to consumer safety which are currently not being addressed in a comprehensive manner. For instance, it has now been over two years since the</w:t>
      </w:r>
      <w:r w:rsidR="00DB540F">
        <w:rPr>
          <w:rFonts w:eastAsia="Calibri"/>
        </w:rPr>
        <w:t xml:space="preserve"> Commission missed the deadline</w:t>
      </w:r>
      <w:r w:rsidR="00DB540F" w:rsidRPr="00D52B2C">
        <w:rPr>
          <w:rFonts w:eastAsia="Calibri"/>
        </w:rPr>
        <w:t xml:space="preserve"> for adopting criteria to identify </w:t>
      </w:r>
      <w:r w:rsidR="00CF4BA9">
        <w:rPr>
          <w:rFonts w:eastAsia="Calibri"/>
        </w:rPr>
        <w:t>EDCs</w:t>
      </w:r>
      <w:r w:rsidR="00DB540F">
        <w:rPr>
          <w:rFonts w:eastAsia="Calibri"/>
        </w:rPr>
        <w:t>, while</w:t>
      </w:r>
      <w:r w:rsidR="00CF4BA9">
        <w:rPr>
          <w:rFonts w:eastAsia="Calibri"/>
        </w:rPr>
        <w:t xml:space="preserve"> </w:t>
      </w:r>
      <w:r w:rsidR="00E967FC">
        <w:rPr>
          <w:rFonts w:eastAsia="Calibri"/>
        </w:rPr>
        <w:t xml:space="preserve">a </w:t>
      </w:r>
      <w:r w:rsidR="005A5948">
        <w:rPr>
          <w:rFonts w:eastAsia="Calibri"/>
        </w:rPr>
        <w:t>compulsory</w:t>
      </w:r>
      <w:r w:rsidR="00CF4BA9">
        <w:rPr>
          <w:rFonts w:eastAsia="Calibri"/>
        </w:rPr>
        <w:t xml:space="preserve"> review </w:t>
      </w:r>
      <w:r w:rsidR="005A5948">
        <w:rPr>
          <w:rFonts w:eastAsia="Calibri"/>
        </w:rPr>
        <w:t xml:space="preserve">of </w:t>
      </w:r>
      <w:r w:rsidR="00CF4BA9">
        <w:rPr>
          <w:rFonts w:eastAsia="Calibri"/>
        </w:rPr>
        <w:t>the Cosmetics Regulation with respect to the</w:t>
      </w:r>
      <w:r w:rsidR="005A5948">
        <w:rPr>
          <w:rFonts w:eastAsia="Calibri"/>
        </w:rPr>
        <w:t>se</w:t>
      </w:r>
      <w:r w:rsidR="00CF4BA9">
        <w:rPr>
          <w:rFonts w:eastAsia="Calibri"/>
        </w:rPr>
        <w:t xml:space="preserve"> harm</w:t>
      </w:r>
      <w:r w:rsidR="005A5948">
        <w:rPr>
          <w:rFonts w:eastAsia="Calibri"/>
        </w:rPr>
        <w:t>f</w:t>
      </w:r>
      <w:r w:rsidR="00CF4BA9">
        <w:rPr>
          <w:rFonts w:eastAsia="Calibri"/>
        </w:rPr>
        <w:t>u</w:t>
      </w:r>
      <w:r w:rsidR="005A5948">
        <w:rPr>
          <w:rFonts w:eastAsia="Calibri"/>
        </w:rPr>
        <w:t>l</w:t>
      </w:r>
      <w:r w:rsidR="00CF4BA9">
        <w:rPr>
          <w:rFonts w:eastAsia="Calibri"/>
        </w:rPr>
        <w:t xml:space="preserve"> chemicals is </w:t>
      </w:r>
      <w:r w:rsidR="00DB540F">
        <w:rPr>
          <w:rFonts w:eastAsia="Calibri"/>
        </w:rPr>
        <w:t xml:space="preserve">more than one year </w:t>
      </w:r>
      <w:r w:rsidR="00CF4BA9">
        <w:rPr>
          <w:rFonts w:eastAsia="Calibri"/>
        </w:rPr>
        <w:t xml:space="preserve">overdue. </w:t>
      </w:r>
      <w:r w:rsidR="00DB540F" w:rsidRPr="00D52B2C">
        <w:rPr>
          <w:rFonts w:eastAsia="Calibri"/>
        </w:rPr>
        <w:t xml:space="preserve">We thus see a failure to adapt EU legislation to </w:t>
      </w:r>
      <w:r w:rsidR="001B05D2">
        <w:rPr>
          <w:rFonts w:eastAsia="Calibri"/>
        </w:rPr>
        <w:t>ensure adequate protection of</w:t>
      </w:r>
      <w:r w:rsidR="00DB540F" w:rsidRPr="00D52B2C">
        <w:rPr>
          <w:rFonts w:eastAsia="Calibri"/>
        </w:rPr>
        <w:t xml:space="preserve"> human health and the environment.</w:t>
      </w:r>
      <w:r w:rsidR="00DB540F">
        <w:rPr>
          <w:rFonts w:eastAsia="Calibri"/>
        </w:rPr>
        <w:t xml:space="preserve"> </w:t>
      </w:r>
      <w:r w:rsidR="00DB540F" w:rsidRPr="00D52B2C">
        <w:rPr>
          <w:rFonts w:eastAsia="Calibri"/>
        </w:rPr>
        <w:t>At the same time, the transition to a circular economy will create new consumer risks where recycled secondary raw materials and reused consumer products incorporate toxic legacy chemicals</w:t>
      </w:r>
      <w:r w:rsidR="00DB540F">
        <w:rPr>
          <w:rFonts w:eastAsia="Calibri"/>
        </w:rPr>
        <w:t>.</w:t>
      </w:r>
      <w:r w:rsidR="00DB540F">
        <w:rPr>
          <w:rStyle w:val="FootnoteReference"/>
          <w:rFonts w:eastAsia="Calibri"/>
        </w:rPr>
        <w:footnoteReference w:id="15"/>
      </w:r>
      <w:r w:rsidR="00DB540F">
        <w:rPr>
          <w:rFonts w:eastAsia="Calibri"/>
        </w:rPr>
        <w:t xml:space="preserve"> </w:t>
      </w:r>
    </w:p>
    <w:p w:rsidR="00DB540F" w:rsidRDefault="00DB540F" w:rsidP="00D52B2C">
      <w:pPr>
        <w:rPr>
          <w:rFonts w:eastAsia="Calibri"/>
        </w:rPr>
      </w:pPr>
    </w:p>
    <w:p w:rsidR="00D52B2C" w:rsidRDefault="00D52B2C" w:rsidP="00D52B2C">
      <w:pPr>
        <w:rPr>
          <w:rFonts w:eastAsia="Calibri"/>
        </w:rPr>
      </w:pPr>
      <w:r w:rsidRPr="00D52B2C">
        <w:rPr>
          <w:rFonts w:eastAsia="Calibri"/>
        </w:rPr>
        <w:t xml:space="preserve">The pace of EU action </w:t>
      </w:r>
      <w:r w:rsidR="001B05D2">
        <w:rPr>
          <w:rFonts w:eastAsia="Calibri"/>
        </w:rPr>
        <w:t xml:space="preserve">to address </w:t>
      </w:r>
      <w:r w:rsidR="002407E7">
        <w:rPr>
          <w:rFonts w:eastAsia="Calibri"/>
        </w:rPr>
        <w:t xml:space="preserve">these issues </w:t>
      </w:r>
      <w:r w:rsidRPr="00D52B2C">
        <w:rPr>
          <w:rFonts w:eastAsia="Calibri"/>
        </w:rPr>
        <w:t xml:space="preserve">is already scandalously slow </w:t>
      </w:r>
      <w:r w:rsidR="002407E7">
        <w:rPr>
          <w:rFonts w:eastAsia="Calibri"/>
        </w:rPr>
        <w:t>– or altogether absent – a</w:t>
      </w:r>
      <w:r w:rsidRPr="00D52B2C">
        <w:rPr>
          <w:rFonts w:eastAsia="Calibri"/>
        </w:rPr>
        <w:t xml:space="preserve">nd </w:t>
      </w:r>
      <w:r w:rsidR="002407E7">
        <w:rPr>
          <w:rFonts w:eastAsia="Calibri"/>
        </w:rPr>
        <w:t xml:space="preserve">the fitness check of EU chemicals legislation </w:t>
      </w:r>
      <w:r w:rsidRPr="00D52B2C">
        <w:rPr>
          <w:rFonts w:eastAsia="Calibri"/>
        </w:rPr>
        <w:t>sh</w:t>
      </w:r>
      <w:r w:rsidR="002407E7">
        <w:rPr>
          <w:rFonts w:eastAsia="Calibri"/>
        </w:rPr>
        <w:t xml:space="preserve">ould not serve as a distraction from an ambitious agenda on better protecting consumers against harmful chemicals. </w:t>
      </w:r>
      <w:r w:rsidR="002407E7" w:rsidRPr="00B80FFC">
        <w:rPr>
          <w:rFonts w:eastAsia="Calibri"/>
        </w:rPr>
        <w:t>We are however concerned that under th</w:t>
      </w:r>
      <w:r w:rsidR="005A5948">
        <w:rPr>
          <w:rFonts w:eastAsia="Calibri"/>
        </w:rPr>
        <w:t>e current</w:t>
      </w:r>
      <w:r w:rsidR="002407E7" w:rsidRPr="00B80FFC">
        <w:rPr>
          <w:rFonts w:eastAsia="Calibri"/>
        </w:rPr>
        <w:t xml:space="preserve"> Commission </w:t>
      </w:r>
      <w:r w:rsidR="005A5948">
        <w:rPr>
          <w:rFonts w:eastAsia="Calibri"/>
        </w:rPr>
        <w:t xml:space="preserve">many </w:t>
      </w:r>
      <w:r w:rsidR="002407E7" w:rsidRPr="00B80FFC">
        <w:rPr>
          <w:rFonts w:eastAsia="Calibri"/>
        </w:rPr>
        <w:t xml:space="preserve">pending decisions are </w:t>
      </w:r>
      <w:r w:rsidR="005A5948">
        <w:rPr>
          <w:rFonts w:eastAsia="Calibri"/>
        </w:rPr>
        <w:t xml:space="preserve">either delay or </w:t>
      </w:r>
      <w:r w:rsidR="001B05D2">
        <w:rPr>
          <w:rFonts w:eastAsia="Calibri"/>
        </w:rPr>
        <w:t xml:space="preserve">indefinitely </w:t>
      </w:r>
      <w:r w:rsidR="005A5948">
        <w:rPr>
          <w:rFonts w:eastAsia="Calibri"/>
        </w:rPr>
        <w:t>deferred</w:t>
      </w:r>
      <w:r w:rsidR="002407E7" w:rsidRPr="00B80FFC">
        <w:rPr>
          <w:rFonts w:eastAsia="Calibri"/>
        </w:rPr>
        <w:t>, potentially creating unnecessary and unacceptable health risks for consumers. We therefore remind the Commission that safety delayed is safety denied.</w:t>
      </w:r>
    </w:p>
    <w:p w:rsidR="00B80FFC" w:rsidRDefault="00B80FFC" w:rsidP="00D52B2C">
      <w:pPr>
        <w:rPr>
          <w:rFonts w:eastAsia="Calibri"/>
        </w:rPr>
      </w:pPr>
    </w:p>
    <w:p w:rsidR="00DC2852" w:rsidRDefault="001C17CA" w:rsidP="009A51E6">
      <w:r>
        <w:t>END</w:t>
      </w:r>
    </w:p>
    <w:p w:rsidR="00FD0E8D" w:rsidRDefault="00FD0E8D">
      <w:pPr>
        <w:ind w:left="714" w:hanging="357"/>
      </w:pPr>
    </w:p>
    <w:p w:rsidR="00FD0E8D" w:rsidRDefault="00FD0E8D">
      <w:pPr>
        <w:ind w:left="714" w:hanging="357"/>
      </w:pPr>
    </w:p>
    <w:p w:rsidR="00FD0E8D" w:rsidRDefault="00FD0E8D">
      <w:pPr>
        <w:ind w:left="714" w:hanging="357"/>
      </w:pPr>
    </w:p>
    <w:p w:rsidR="00DC2852" w:rsidRDefault="00DC2852">
      <w:pPr>
        <w:ind w:left="714" w:hanging="357"/>
      </w:pPr>
    </w:p>
    <w:p w:rsidR="00DC2852" w:rsidRDefault="00DC2852">
      <w:pPr>
        <w:ind w:left="714" w:hanging="357"/>
      </w:pPr>
    </w:p>
    <w:p w:rsidR="00401AE3" w:rsidRDefault="00401AE3">
      <w:pPr>
        <w:ind w:left="714" w:hanging="357"/>
      </w:pPr>
    </w:p>
    <w:p w:rsidR="00DC2852" w:rsidRDefault="00DC2852">
      <w:pPr>
        <w:ind w:left="714" w:hanging="357"/>
      </w:pPr>
    </w:p>
    <w:p w:rsidR="00DC2852" w:rsidRDefault="00DC2852">
      <w:pPr>
        <w:ind w:left="714" w:hanging="357"/>
      </w:pPr>
    </w:p>
    <w:p w:rsidR="009F6E39" w:rsidRDefault="009F6E39" w:rsidP="009F6E39">
      <w:pPr>
        <w:pStyle w:val="Default"/>
        <w:rPr>
          <w:rFonts w:ascii="Calibri" w:hAnsi="Calibri"/>
          <w:color w:val="1F497D"/>
        </w:rPr>
      </w:pPr>
      <w:r>
        <w:rPr>
          <w:rFonts w:ascii="Calibri" w:hAnsi="Calibri"/>
          <w:b/>
          <w:bCs/>
          <w:noProof/>
          <w:color w:val="1F497D"/>
          <w:lang w:eastAsia="en-GB"/>
        </w:rPr>
        <w:drawing>
          <wp:inline distT="0" distB="0" distL="0" distR="0" wp14:anchorId="2BD1B16A" wp14:editId="3A4C034F">
            <wp:extent cx="552450" cy="352425"/>
            <wp:effectExtent l="0" t="0" r="0" b="9525"/>
            <wp:docPr id="4" name="Picture 4" descr="cid:image001.png@01D19FF1.698FE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9FF1.698FED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rPr>
          <w:rFonts w:ascii="Calibri" w:hAnsi="Calibri"/>
          <w:b/>
          <w:bCs/>
          <w:noProof/>
          <w:color w:val="1F497D"/>
          <w:lang w:eastAsia="en-GB"/>
        </w:rPr>
        <w:drawing>
          <wp:inline distT="0" distB="0" distL="0" distR="0" wp14:anchorId="268FF1F9" wp14:editId="6FA98037">
            <wp:extent cx="742950" cy="428625"/>
            <wp:effectExtent l="0" t="0" r="0" b="9525"/>
            <wp:docPr id="1" name="Picture 1" descr="cid:image002.png@01D19FF1.698FE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FF1.698FED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rPr>
          <w:rFonts w:ascii="Calibri" w:hAnsi="Calibri"/>
          <w:color w:val="auto"/>
        </w:rPr>
        <w:t>ANEC is supported financially by the European Union &amp; EFTA</w:t>
      </w:r>
      <w:r w:rsidRPr="009F6E39">
        <w:rPr>
          <w:rFonts w:ascii="Calibri" w:hAnsi="Calibri"/>
          <w:color w:val="auto"/>
        </w:rPr>
        <w:t>.</w:t>
      </w:r>
    </w:p>
    <w:p w:rsidR="00DC2852" w:rsidRDefault="00DC2852">
      <w:pPr>
        <w:ind w:left="714" w:hanging="357"/>
      </w:pPr>
    </w:p>
    <w:p w:rsidR="00DC2852" w:rsidRDefault="00DC2852">
      <w:pPr>
        <w:ind w:left="714" w:hanging="357"/>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8440"/>
      </w:tblGrid>
      <w:tr w:rsidR="00DC2852" w:rsidRPr="00DC2852" w:rsidTr="00401AE3">
        <w:trPr>
          <w:trHeight w:val="279"/>
        </w:trPr>
        <w:tc>
          <w:tcPr>
            <w:tcW w:w="632" w:type="dxa"/>
            <w:vAlign w:val="center"/>
          </w:tcPr>
          <w:p w:rsidR="00DC2852" w:rsidRPr="00DC2852" w:rsidRDefault="00DC2852" w:rsidP="003933F3">
            <w:pPr>
              <w:ind w:right="1038"/>
              <w:jc w:val="right"/>
              <w:rPr>
                <w:i/>
              </w:rPr>
            </w:pPr>
            <w:r w:rsidRPr="00DC2852">
              <w:rPr>
                <w:rFonts w:cs="Arial"/>
                <w:noProof/>
                <w:sz w:val="13"/>
                <w:szCs w:val="13"/>
                <w:lang w:eastAsia="en-GB"/>
              </w:rPr>
              <w:drawing>
                <wp:inline distT="0" distB="0" distL="0" distR="0" wp14:anchorId="52A6E6C9" wp14:editId="67F09E3C">
                  <wp:extent cx="323850" cy="226181"/>
                  <wp:effectExtent l="0" t="0" r="0" b="2540"/>
                  <wp:docPr id="5" name="Picture 5" descr="P:\TOOLS\Images\EU\euro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OLS\Images\EU\euro_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6181"/>
                          </a:xfrm>
                          <a:prstGeom prst="rect">
                            <a:avLst/>
                          </a:prstGeom>
                          <a:noFill/>
                          <a:ln>
                            <a:noFill/>
                          </a:ln>
                        </pic:spPr>
                      </pic:pic>
                    </a:graphicData>
                  </a:graphic>
                </wp:inline>
              </w:drawing>
            </w:r>
          </w:p>
        </w:tc>
        <w:tc>
          <w:tcPr>
            <w:tcW w:w="8440" w:type="dxa"/>
          </w:tcPr>
          <w:p w:rsidR="00DC2852" w:rsidRPr="00DC2852" w:rsidRDefault="00DC2852" w:rsidP="00401AE3">
            <w:pPr>
              <w:tabs>
                <w:tab w:val="left" w:pos="8965"/>
              </w:tabs>
              <w:ind w:right="-108"/>
              <w:rPr>
                <w:i/>
              </w:rPr>
            </w:pPr>
            <w:r w:rsidRPr="00DC2852">
              <w:rPr>
                <w:i/>
              </w:rPr>
              <w:t>This publication is part of an activity which has received funding under an operating grant from the European Union’s Consumer Programme (2014-2020).</w:t>
            </w:r>
          </w:p>
        </w:tc>
      </w:tr>
    </w:tbl>
    <w:p w:rsidR="00DC2852" w:rsidRPr="00DC2852" w:rsidRDefault="00DC2852" w:rsidP="00DC2852">
      <w:pPr>
        <w:ind w:left="993" w:right="1038"/>
        <w:rPr>
          <w:i/>
        </w:rPr>
      </w:pPr>
    </w:p>
    <w:p w:rsidR="00DC2852" w:rsidRPr="00DC2852" w:rsidRDefault="00DC2852" w:rsidP="00DC2852">
      <w:pPr>
        <w:ind w:right="-2"/>
        <w:rPr>
          <w:i/>
        </w:rPr>
      </w:pPr>
      <w:r w:rsidRPr="00DC2852">
        <w:rPr>
          <w:i/>
        </w:rPr>
        <w:t>The content of this publication represents the views of the author only and it is his/her sole responsibility; it cannot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p w:rsidR="00DC2852" w:rsidRPr="00DC2852" w:rsidRDefault="00DC2852" w:rsidP="00DC2852">
      <w:pPr>
        <w:ind w:left="993" w:right="1038"/>
        <w:rPr>
          <w:i/>
        </w:rPr>
      </w:pPr>
    </w:p>
    <w:p w:rsidR="00371C8F" w:rsidRPr="00401AE3" w:rsidRDefault="00DC2852" w:rsidP="00401AE3">
      <w:pPr>
        <w:ind w:right="-2"/>
        <w:rPr>
          <w:i/>
        </w:rPr>
      </w:pPr>
      <w:r w:rsidRPr="00DC2852">
        <w:rPr>
          <w:i/>
        </w:rPr>
        <w:t>BEUC would like to thank the European Environment and Health Initiative (</w:t>
      </w:r>
      <w:proofErr w:type="spellStart"/>
      <w:r w:rsidRPr="00DC2852">
        <w:rPr>
          <w:i/>
        </w:rPr>
        <w:t>EEHI</w:t>
      </w:r>
      <w:proofErr w:type="spellEnd"/>
      <w:r w:rsidRPr="00DC2852">
        <w:rPr>
          <w:i/>
        </w:rPr>
        <w:t>) for providing funding for the development of this publication.</w:t>
      </w:r>
      <w:r w:rsidR="007A02CD">
        <w:rPr>
          <w:noProof/>
          <w:lang w:eastAsia="en-GB"/>
        </w:rPr>
        <mc:AlternateContent>
          <mc:Choice Requires="wps">
            <w:drawing>
              <wp:anchor distT="0" distB="0" distL="114300" distR="114300" simplePos="0" relativeHeight="251679744" behindDoc="0" locked="0" layoutInCell="1" allowOverlap="1" wp14:anchorId="0ADE3455" wp14:editId="098A4D77">
                <wp:simplePos x="0" y="0"/>
                <wp:positionH relativeFrom="column">
                  <wp:posOffset>-900430</wp:posOffset>
                </wp:positionH>
                <wp:positionV relativeFrom="paragraph">
                  <wp:posOffset>6471285</wp:posOffset>
                </wp:positionV>
                <wp:extent cx="7600950" cy="3000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7600950" cy="3000375"/>
                        </a:xfrm>
                        <a:prstGeom prst="rect">
                          <a:avLst/>
                        </a:prstGeom>
                        <a:solidFill>
                          <a:srgbClr val="50B2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0219"/>
                            </w:tblGrid>
                            <w:tr w:rsidR="00737E2E" w:rsidRPr="00737E2E" w:rsidTr="00737E2E">
                              <w:trPr>
                                <w:trHeight w:val="241"/>
                              </w:trPr>
                              <w:tc>
                                <w:tcPr>
                                  <w:tcW w:w="675" w:type="dxa"/>
                                  <w:vAlign w:val="center"/>
                                </w:tcPr>
                                <w:p w:rsidR="001F7CDC" w:rsidRPr="00633CC3" w:rsidRDefault="00A66DD3" w:rsidP="001F7CDC">
                                  <w:pPr>
                                    <w:ind w:right="1038"/>
                                    <w:jc w:val="right"/>
                                    <w:rPr>
                                      <w:i/>
                                      <w:color w:val="FFFFFF" w:themeColor="background1"/>
                                    </w:rPr>
                                  </w:pPr>
                                  <w:r w:rsidRPr="00737E2E">
                                    <w:rPr>
                                      <w:rFonts w:cs="Arial"/>
                                      <w:noProof/>
                                      <w:sz w:val="13"/>
                                      <w:szCs w:val="13"/>
                                      <w:lang w:eastAsia="en-GB"/>
                                    </w:rPr>
                                    <w:drawing>
                                      <wp:inline distT="0" distB="0" distL="0" distR="0" wp14:anchorId="34E3F835" wp14:editId="28B5CC04">
                                        <wp:extent cx="323850" cy="226181"/>
                                        <wp:effectExtent l="0" t="0" r="0" b="2540"/>
                                        <wp:docPr id="13" name="Picture 13" descr="P:\TOOLS\Images\EU\euro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OLS\Images\EU\euro_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6181"/>
                                                </a:xfrm>
                                                <a:prstGeom prst="rect">
                                                  <a:avLst/>
                                                </a:prstGeom>
                                                <a:noFill/>
                                                <a:ln>
                                                  <a:noFill/>
                                                </a:ln>
                                              </pic:spPr>
                                            </pic:pic>
                                          </a:graphicData>
                                        </a:graphic>
                                      </wp:inline>
                                    </w:drawing>
                                  </w:r>
                                </w:p>
                              </w:tc>
                              <w:tc>
                                <w:tcPr>
                                  <w:tcW w:w="10219" w:type="dxa"/>
                                </w:tcPr>
                                <w:p w:rsidR="00A66DD3" w:rsidRPr="00633CC3" w:rsidRDefault="00A66DD3" w:rsidP="003C7252">
                                  <w:pPr>
                                    <w:ind w:right="1038"/>
                                    <w:rPr>
                                      <w:i/>
                                      <w:color w:val="FFFFFF" w:themeColor="background1"/>
                                    </w:rPr>
                                  </w:pPr>
                                  <w:r w:rsidRPr="00633CC3">
                                    <w:rPr>
                                      <w:i/>
                                      <w:color w:val="FFFFFF" w:themeColor="background1"/>
                                    </w:rPr>
                                    <w:t>This publication is part of an activity which has received funding under an operating grant from the European Union’s Consumer Programme (2014</w:t>
                                  </w:r>
                                  <w:r w:rsidR="005A34BC" w:rsidRPr="00633CC3">
                                    <w:rPr>
                                      <w:i/>
                                      <w:color w:val="FFFFFF" w:themeColor="background1"/>
                                    </w:rPr>
                                    <w:t>-</w:t>
                                  </w:r>
                                  <w:r w:rsidRPr="00633CC3">
                                    <w:rPr>
                                      <w:i/>
                                      <w:color w:val="FFFFFF" w:themeColor="background1"/>
                                    </w:rPr>
                                    <w:t>2020).</w:t>
                                  </w:r>
                                </w:p>
                              </w:tc>
                            </w:tr>
                          </w:tbl>
                          <w:p w:rsidR="007A02CD" w:rsidRPr="00633CC3" w:rsidRDefault="007A02CD" w:rsidP="007A02CD">
                            <w:pPr>
                              <w:ind w:left="993" w:right="1038"/>
                              <w:rPr>
                                <w:i/>
                                <w:color w:val="FFFFFF" w:themeColor="background1"/>
                              </w:rPr>
                            </w:pPr>
                          </w:p>
                          <w:p w:rsidR="007A02CD" w:rsidRDefault="007A02CD" w:rsidP="007A02CD">
                            <w:pPr>
                              <w:ind w:left="993" w:right="1038"/>
                              <w:rPr>
                                <w:i/>
                                <w:color w:val="FFFFFF" w:themeColor="background1"/>
                              </w:rPr>
                            </w:pPr>
                            <w:r w:rsidRPr="00633CC3">
                              <w:rPr>
                                <w:i/>
                                <w:color w:val="FFFFFF" w:themeColor="background1"/>
                              </w:rPr>
                              <w:t>The content of this publication represents the views of the author only and it is his/her sole responsibility; it cannot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p w:rsidR="00633CC3" w:rsidRDefault="00633CC3" w:rsidP="007A02CD">
                            <w:pPr>
                              <w:ind w:left="993" w:right="1038"/>
                              <w:rPr>
                                <w:i/>
                                <w:color w:val="FFFFFF" w:themeColor="background1"/>
                              </w:rPr>
                            </w:pPr>
                          </w:p>
                          <w:p w:rsidR="00633CC3" w:rsidRPr="00633CC3" w:rsidRDefault="00633CC3" w:rsidP="00633CC3">
                            <w:pPr>
                              <w:ind w:left="993" w:right="1038"/>
                              <w:rPr>
                                <w:i/>
                                <w:color w:val="FFFFFF" w:themeColor="background1"/>
                              </w:rPr>
                            </w:pPr>
                            <w:r w:rsidRPr="00633CC3">
                              <w:rPr>
                                <w:i/>
                                <w:color w:val="FFFFFF" w:themeColor="background1"/>
                              </w:rPr>
                              <w:t>BEUC would like to thank the European Environment and Health Initiative (</w:t>
                            </w:r>
                            <w:proofErr w:type="spellStart"/>
                            <w:r w:rsidRPr="00633CC3">
                              <w:rPr>
                                <w:i/>
                                <w:color w:val="FFFFFF" w:themeColor="background1"/>
                              </w:rPr>
                              <w:t>EEHI</w:t>
                            </w:r>
                            <w:proofErr w:type="spellEnd"/>
                            <w:r w:rsidRPr="00633CC3">
                              <w:rPr>
                                <w:i/>
                                <w:color w:val="FFFFFF" w:themeColor="background1"/>
                              </w:rPr>
                              <w:t>) for providing funding for the development of this publication.</w:t>
                            </w:r>
                          </w:p>
                          <w:p w:rsidR="00633CC3" w:rsidRPr="00633CC3" w:rsidRDefault="00633CC3" w:rsidP="007A02CD">
                            <w:pPr>
                              <w:ind w:left="993" w:right="1038"/>
                              <w:rPr>
                                <w:i/>
                                <w:color w:val="FFFFFF" w:themeColor="background1"/>
                              </w:rPr>
                            </w:pPr>
                          </w:p>
                          <w:p w:rsidR="00737E2E" w:rsidRPr="00737E2E" w:rsidRDefault="00737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E3455" id="_x0000_t202" coordsize="21600,21600" o:spt="202" path="m,l,21600r21600,l21600,xe">
                <v:stroke joinstyle="miter"/>
                <v:path gradientshapeok="t" o:connecttype="rect"/>
              </v:shapetype>
              <v:shape id="Text Box 15" o:spid="_x0000_s1026" type="#_x0000_t202" style="position:absolute;left:0;text-align:left;margin-left:-70.9pt;margin-top:509.55pt;width:598.5pt;height:23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" fillcolor="#50b2d6" stroked="f" strokeweight=".5pt">
                <v:textbox>
                  <w:txbxContent>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p w:rsidR="007A02CD" w:rsidRPr="00633CC3" w:rsidRDefault="007A02CD" w:rsidP="007A02CD">
                      <w:pPr>
                        <w:ind w:left="993" w:right="1038"/>
                        <w:rPr>
                          <w:i/>
                          <w:color w:val="FFFFFF" w:themeColor="background1"/>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0219"/>
                      </w:tblGrid>
                      <w:tr w:rsidR="00737E2E" w:rsidRPr="00737E2E" w:rsidTr="00737E2E">
                        <w:trPr>
                          <w:trHeight w:val="241"/>
                        </w:trPr>
                        <w:tc>
                          <w:tcPr>
                            <w:tcW w:w="675" w:type="dxa"/>
                            <w:vAlign w:val="center"/>
                          </w:tcPr>
                          <w:p w:rsidR="001F7CDC" w:rsidRPr="00633CC3" w:rsidRDefault="00A66DD3" w:rsidP="001F7CDC">
                            <w:pPr>
                              <w:ind w:right="1038"/>
                              <w:jc w:val="right"/>
                              <w:rPr>
                                <w:i/>
                                <w:color w:val="FFFFFF" w:themeColor="background1"/>
                              </w:rPr>
                            </w:pPr>
                            <w:r w:rsidRPr="00737E2E">
                              <w:rPr>
                                <w:rFonts w:cs="Arial"/>
                                <w:noProof/>
                                <w:sz w:val="13"/>
                                <w:szCs w:val="13"/>
                                <w:lang w:eastAsia="en-GB"/>
                              </w:rPr>
                              <w:drawing>
                                <wp:inline distT="0" distB="0" distL="0" distR="0" wp14:anchorId="34E3F835" wp14:editId="28B5CC04">
                                  <wp:extent cx="323850" cy="226181"/>
                                  <wp:effectExtent l="0" t="0" r="0" b="2540"/>
                                  <wp:docPr id="13" name="Picture 13" descr="P:\TOOLS\Images\EU\euro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OLS\Images\EU\euro_fla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6181"/>
                                          </a:xfrm>
                                          <a:prstGeom prst="rect">
                                            <a:avLst/>
                                          </a:prstGeom>
                                          <a:noFill/>
                                          <a:ln>
                                            <a:noFill/>
                                          </a:ln>
                                        </pic:spPr>
                                      </pic:pic>
                                    </a:graphicData>
                                  </a:graphic>
                                </wp:inline>
                              </w:drawing>
                            </w:r>
                          </w:p>
                        </w:tc>
                        <w:tc>
                          <w:tcPr>
                            <w:tcW w:w="10219" w:type="dxa"/>
                          </w:tcPr>
                          <w:p w:rsidR="00A66DD3" w:rsidRPr="00633CC3" w:rsidRDefault="00A66DD3" w:rsidP="003C7252">
                            <w:pPr>
                              <w:ind w:right="1038"/>
                              <w:rPr>
                                <w:i/>
                                <w:color w:val="FFFFFF" w:themeColor="background1"/>
                              </w:rPr>
                            </w:pPr>
                            <w:r w:rsidRPr="00633CC3">
                              <w:rPr>
                                <w:i/>
                                <w:color w:val="FFFFFF" w:themeColor="background1"/>
                              </w:rPr>
                              <w:t>This publication is part of an activity which has received funding under an operating grant from the European Union’s Consumer Programme (2014</w:t>
                            </w:r>
                            <w:r w:rsidR="005A34BC" w:rsidRPr="00633CC3">
                              <w:rPr>
                                <w:i/>
                                <w:color w:val="FFFFFF" w:themeColor="background1"/>
                              </w:rPr>
                              <w:t>-</w:t>
                            </w:r>
                            <w:r w:rsidRPr="00633CC3">
                              <w:rPr>
                                <w:i/>
                                <w:color w:val="FFFFFF" w:themeColor="background1"/>
                              </w:rPr>
                              <w:t>2020).</w:t>
                            </w:r>
                          </w:p>
                        </w:tc>
                      </w:tr>
                    </w:tbl>
                    <w:p w:rsidR="007A02CD" w:rsidRPr="00633CC3" w:rsidRDefault="007A02CD" w:rsidP="007A02CD">
                      <w:pPr>
                        <w:ind w:left="993" w:right="1038"/>
                        <w:rPr>
                          <w:i/>
                          <w:color w:val="FFFFFF" w:themeColor="background1"/>
                        </w:rPr>
                      </w:pPr>
                    </w:p>
                    <w:p w:rsidR="007A02CD" w:rsidRDefault="007A02CD" w:rsidP="007A02CD">
                      <w:pPr>
                        <w:ind w:left="993" w:right="1038"/>
                        <w:rPr>
                          <w:i/>
                          <w:color w:val="FFFFFF" w:themeColor="background1"/>
                        </w:rPr>
                      </w:pPr>
                      <w:r w:rsidRPr="00633CC3">
                        <w:rPr>
                          <w:i/>
                          <w:color w:val="FFFFFF" w:themeColor="background1"/>
                        </w:rPr>
                        <w:t>The content of this publication represents the views of the author only and it is his/her sole responsibility; it cannot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p w:rsidR="00633CC3" w:rsidRDefault="00633CC3" w:rsidP="007A02CD">
                      <w:pPr>
                        <w:ind w:left="993" w:right="1038"/>
                        <w:rPr>
                          <w:i/>
                          <w:color w:val="FFFFFF" w:themeColor="background1"/>
                        </w:rPr>
                      </w:pPr>
                    </w:p>
                    <w:p w:rsidR="00633CC3" w:rsidRPr="00633CC3" w:rsidRDefault="00633CC3" w:rsidP="00633CC3">
                      <w:pPr>
                        <w:ind w:left="993" w:right="1038"/>
                        <w:rPr>
                          <w:i/>
                          <w:color w:val="FFFFFF" w:themeColor="background1"/>
                        </w:rPr>
                      </w:pPr>
                      <w:r w:rsidRPr="00633CC3">
                        <w:rPr>
                          <w:i/>
                          <w:color w:val="FFFFFF" w:themeColor="background1"/>
                        </w:rPr>
                        <w:t>BEUC would like to thank the European Environment and Health Initiative (</w:t>
                      </w:r>
                      <w:proofErr w:type="spellStart"/>
                      <w:r w:rsidRPr="00633CC3">
                        <w:rPr>
                          <w:i/>
                          <w:color w:val="FFFFFF" w:themeColor="background1"/>
                        </w:rPr>
                        <w:t>EEHI</w:t>
                      </w:r>
                      <w:proofErr w:type="spellEnd"/>
                      <w:r w:rsidRPr="00633CC3">
                        <w:rPr>
                          <w:i/>
                          <w:color w:val="FFFFFF" w:themeColor="background1"/>
                        </w:rPr>
                        <w:t>) for providing funding for the development of this publication.</w:t>
                      </w:r>
                    </w:p>
                    <w:p w:rsidR="00633CC3" w:rsidRPr="00633CC3" w:rsidRDefault="00633CC3" w:rsidP="007A02CD">
                      <w:pPr>
                        <w:ind w:left="993" w:right="1038"/>
                        <w:rPr>
                          <w:i/>
                          <w:color w:val="FFFFFF" w:themeColor="background1"/>
                        </w:rPr>
                      </w:pPr>
                    </w:p>
                    <w:p w:rsidR="00737E2E" w:rsidRPr="00737E2E" w:rsidRDefault="00737E2E"/>
                  </w:txbxContent>
                </v:textbox>
              </v:shape>
            </w:pict>
          </mc:Fallback>
        </mc:AlternateContent>
      </w:r>
    </w:p>
    <w:sectPr w:rsidR="00371C8F" w:rsidRPr="00401AE3" w:rsidSect="004549D2">
      <w:headerReference w:type="default" r:id="rId15"/>
      <w:footerReference w:type="default" r:id="rId16"/>
      <w:headerReference w:type="first" r:id="rId17"/>
      <w:footerReference w:type="first" r:id="rId18"/>
      <w:type w:val="oddPage"/>
      <w:pgSz w:w="11906" w:h="16838"/>
      <w:pgMar w:top="1959"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DE" w:rsidRDefault="007555DE" w:rsidP="00181B09">
      <w:r>
        <w:separator/>
      </w:r>
    </w:p>
  </w:endnote>
  <w:endnote w:type="continuationSeparator" w:id="0">
    <w:p w:rsidR="007555DE" w:rsidRDefault="007555DE" w:rsidP="001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80007"/>
      <w:docPartObj>
        <w:docPartGallery w:val="Page Numbers (Bottom of Page)"/>
        <w:docPartUnique/>
      </w:docPartObj>
    </w:sdtPr>
    <w:sdtEndPr>
      <w:rPr>
        <w:noProof/>
      </w:rPr>
    </w:sdtEndPr>
    <w:sdtContent>
      <w:p w:rsidR="002B28DE" w:rsidRPr="000B0D41" w:rsidRDefault="002B28DE" w:rsidP="000B0D41">
        <w:pPr>
          <w:pStyle w:val="Footer"/>
          <w:jc w:val="right"/>
        </w:pPr>
        <w:r>
          <w:fldChar w:fldCharType="begin"/>
        </w:r>
        <w:r>
          <w:instrText xml:space="preserve"> PAGE   \* MERGEFORMAT </w:instrText>
        </w:r>
        <w:r>
          <w:fldChar w:fldCharType="separate"/>
        </w:r>
        <w:r w:rsidR="00471F9A">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927516"/>
      <w:docPartObj>
        <w:docPartGallery w:val="Page Numbers (Bottom of Page)"/>
        <w:docPartUnique/>
      </w:docPartObj>
    </w:sdtPr>
    <w:sdtEndPr>
      <w:rPr>
        <w:noProof/>
      </w:rPr>
    </w:sdtEndPr>
    <w:sdtContent>
      <w:p w:rsidR="00730944" w:rsidRDefault="00730944" w:rsidP="00CC1F6E">
        <w:pPr>
          <w:pStyle w:val="Footer"/>
          <w:jc w:val="right"/>
        </w:pPr>
      </w:p>
      <w:p w:rsidR="00730944" w:rsidRDefault="00730944" w:rsidP="00CC1F6E">
        <w:pPr>
          <w:pStyle w:val="Footer"/>
          <w:jc w:val="right"/>
        </w:pPr>
      </w:p>
      <w:p w:rsidR="00730944" w:rsidRDefault="00730944" w:rsidP="00CC1F6E">
        <w:pPr>
          <w:pStyle w:val="Footer"/>
          <w:jc w:val="right"/>
        </w:pPr>
      </w:p>
      <w:p w:rsidR="00730944" w:rsidRDefault="00730944" w:rsidP="00CC1F6E">
        <w:pPr>
          <w:pStyle w:val="Footer"/>
          <w:jc w:val="right"/>
        </w:pPr>
      </w:p>
      <w:tbl>
        <w:tblPr>
          <w:tblW w:w="5670" w:type="pct"/>
          <w:jc w:val="center"/>
          <w:tblLook w:val="01E0" w:firstRow="1" w:lastRow="1" w:firstColumn="1" w:lastColumn="1" w:noHBand="0" w:noVBand="0"/>
        </w:tblPr>
        <w:tblGrid>
          <w:gridCol w:w="1205"/>
          <w:gridCol w:w="8008"/>
          <w:gridCol w:w="1072"/>
        </w:tblGrid>
        <w:tr w:rsidR="00730944" w:rsidRPr="00D2439C" w:rsidTr="00FA70DF">
          <w:trPr>
            <w:jc w:val="center"/>
          </w:trPr>
          <w:tc>
            <w:tcPr>
              <w:tcW w:w="586" w:type="pct"/>
            </w:tcPr>
            <w:p w:rsidR="00730944" w:rsidRPr="00730944" w:rsidRDefault="00730944" w:rsidP="00730944">
              <w:pPr>
                <w:tabs>
                  <w:tab w:val="left" w:pos="1378"/>
                </w:tabs>
                <w:ind w:left="-167" w:right="360"/>
                <w:jc w:val="center"/>
                <w:rPr>
                  <w:rFonts w:eastAsia="Times New Roman"/>
                  <w:b/>
                  <w:color w:val="000000"/>
                  <w:szCs w:val="24"/>
                </w:rPr>
              </w:pPr>
            </w:p>
          </w:tc>
          <w:tc>
            <w:tcPr>
              <w:tcW w:w="3893" w:type="pct"/>
            </w:tcPr>
            <w:p w:rsidR="00730944" w:rsidRPr="00A966A7" w:rsidRDefault="00730944" w:rsidP="00371895">
              <w:pPr>
                <w:spacing w:after="120"/>
                <w:jc w:val="left"/>
                <w:rPr>
                  <w:b/>
                  <w:color w:val="003F6F"/>
                  <w:sz w:val="22"/>
                  <w:szCs w:val="22"/>
                  <w:lang w:val="fr-FR"/>
                </w:rPr>
              </w:pPr>
              <w:r w:rsidRPr="00A966A7">
                <w:rPr>
                  <w:b/>
                  <w:sz w:val="22"/>
                  <w:szCs w:val="22"/>
                  <w:lang w:val="fr-FR"/>
                </w:rPr>
                <w:t xml:space="preserve">Contact: </w:t>
              </w:r>
              <w:r w:rsidRPr="00730944">
                <w:rPr>
                  <w:b/>
                  <w:color w:val="003F6F"/>
                  <w:sz w:val="22"/>
                  <w:szCs w:val="22"/>
                  <w:lang w:val="fr-FR"/>
                </w:rPr>
                <w:t>Sylvia Maurer</w:t>
              </w:r>
              <w:r w:rsidR="00FA70DF">
                <w:rPr>
                  <w:b/>
                  <w:color w:val="003F6F"/>
                  <w:sz w:val="22"/>
                  <w:szCs w:val="22"/>
                  <w:lang w:val="fr-FR"/>
                </w:rPr>
                <w:t xml:space="preserve"> </w:t>
              </w:r>
              <w:r w:rsidRPr="00730944">
                <w:rPr>
                  <w:b/>
                  <w:color w:val="003F6F"/>
                  <w:sz w:val="22"/>
                  <w:szCs w:val="22"/>
                  <w:lang w:val="fr-FR"/>
                </w:rPr>
                <w:t xml:space="preserve">/ Pelle </w:t>
              </w:r>
              <w:proofErr w:type="spellStart"/>
              <w:r w:rsidRPr="00730944">
                <w:rPr>
                  <w:b/>
                  <w:color w:val="003F6F"/>
                  <w:sz w:val="22"/>
                  <w:szCs w:val="22"/>
                  <w:lang w:val="fr-FR"/>
                </w:rPr>
                <w:t>Moos</w:t>
              </w:r>
              <w:proofErr w:type="spellEnd"/>
              <w:r w:rsidRPr="00730944">
                <w:rPr>
                  <w:b/>
                  <w:color w:val="003F6F"/>
                  <w:sz w:val="22"/>
                  <w:szCs w:val="22"/>
                  <w:lang w:val="fr-FR"/>
                </w:rPr>
                <w:t xml:space="preserve"> – </w:t>
              </w:r>
              <w:hyperlink r:id="rId1" w:history="1">
                <w:r w:rsidR="00F32A0F" w:rsidRPr="00F32A0F">
                  <w:rPr>
                    <w:rStyle w:val="Hyperlink"/>
                    <w:b/>
                    <w:sz w:val="22"/>
                    <w:szCs w:val="22"/>
                    <w:lang w:val="fr-FR"/>
                  </w:rPr>
                  <w:t>safety@beuc.eu</w:t>
                </w:r>
              </w:hyperlink>
              <w:r w:rsidR="00A966A7" w:rsidRPr="00A966A7">
                <w:rPr>
                  <w:b/>
                  <w:color w:val="FFFFFF" w:themeColor="background1"/>
                  <w:sz w:val="22"/>
                  <w:szCs w:val="22"/>
                  <w:lang w:val="fr-FR"/>
                </w:rPr>
                <w:t xml:space="preserve">Contact: </w:t>
              </w:r>
              <w:r w:rsidR="00FA70DF" w:rsidRPr="00FA70DF">
                <w:rPr>
                  <w:b/>
                  <w:color w:val="FFFFFF" w:themeColor="background1"/>
                  <w:sz w:val="22"/>
                  <w:szCs w:val="22"/>
                  <w:lang w:val="fr-FR"/>
                </w:rPr>
                <w:t xml:space="preserve">Contact: </w:t>
              </w:r>
              <w:r w:rsidR="00A966A7">
                <w:rPr>
                  <w:b/>
                  <w:color w:val="003F6F"/>
                  <w:sz w:val="22"/>
                  <w:szCs w:val="22"/>
                  <w:lang w:val="fr-FR"/>
                </w:rPr>
                <w:t xml:space="preserve">Michela Vuerich – </w:t>
              </w:r>
              <w:hyperlink r:id="rId2" w:history="1">
                <w:r w:rsidR="00371895" w:rsidRPr="00371895">
                  <w:rPr>
                    <w:rStyle w:val="Hyperlink"/>
                    <w:b/>
                    <w:sz w:val="22"/>
                    <w:lang w:val="fr-BE"/>
                  </w:rPr>
                  <w:t>mvu@anec.eu</w:t>
                </w:r>
              </w:hyperlink>
              <w:r w:rsidR="00371895" w:rsidRPr="00371895">
                <w:rPr>
                  <w:sz w:val="22"/>
                  <w:lang w:val="fr-BE"/>
                </w:rPr>
                <w:t xml:space="preserve"> </w:t>
              </w:r>
            </w:p>
          </w:tc>
          <w:tc>
            <w:tcPr>
              <w:tcW w:w="521" w:type="pct"/>
            </w:tcPr>
            <w:p w:rsidR="00730944" w:rsidRPr="00730944" w:rsidRDefault="00730944" w:rsidP="00730944">
              <w:pPr>
                <w:tabs>
                  <w:tab w:val="left" w:pos="1378"/>
                </w:tabs>
                <w:ind w:left="-167" w:right="360"/>
                <w:jc w:val="center"/>
                <w:rPr>
                  <w:rFonts w:eastAsia="Times New Roman"/>
                  <w:b/>
                  <w:color w:val="000000"/>
                  <w:szCs w:val="24"/>
                  <w:lang w:val="fr-BE"/>
                </w:rPr>
              </w:pPr>
            </w:p>
          </w:tc>
        </w:tr>
        <w:tr w:rsidR="00730944" w:rsidRPr="00730944" w:rsidTr="00FA70DF">
          <w:trPr>
            <w:jc w:val="center"/>
          </w:trPr>
          <w:tc>
            <w:tcPr>
              <w:tcW w:w="586" w:type="pct"/>
            </w:tcPr>
            <w:p w:rsidR="00730944" w:rsidRPr="00730944" w:rsidRDefault="00730944" w:rsidP="00730944">
              <w:pPr>
                <w:tabs>
                  <w:tab w:val="left" w:pos="1378"/>
                </w:tabs>
                <w:ind w:left="-167" w:right="360"/>
                <w:jc w:val="center"/>
                <w:rPr>
                  <w:rFonts w:eastAsia="Times New Roman"/>
                  <w:b/>
                  <w:color w:val="000000"/>
                  <w:szCs w:val="24"/>
                  <w:lang w:val="fr-BE"/>
                </w:rPr>
              </w:pPr>
            </w:p>
          </w:tc>
          <w:tc>
            <w:tcPr>
              <w:tcW w:w="3893" w:type="pct"/>
            </w:tcPr>
            <w:p w:rsidR="00730944" w:rsidRPr="00730944" w:rsidRDefault="00730944" w:rsidP="00730944">
              <w:pPr>
                <w:tabs>
                  <w:tab w:val="left" w:pos="615"/>
                </w:tabs>
                <w:ind w:right="360"/>
                <w:jc w:val="center"/>
                <w:rPr>
                  <w:rFonts w:eastAsia="Times New Roman"/>
                  <w:color w:val="000000"/>
                  <w:szCs w:val="24"/>
                  <w:lang w:val="nl-BE"/>
                </w:rPr>
              </w:pPr>
              <w:r w:rsidRPr="00730944">
                <w:rPr>
                  <w:rFonts w:eastAsia="Times New Roman"/>
                  <w:b/>
                  <w:color w:val="000000"/>
                  <w:szCs w:val="24"/>
                  <w:lang w:val="nl-BE"/>
                </w:rPr>
                <w:t>Ref.:</w:t>
              </w:r>
              <w:r w:rsidRPr="00730944">
                <w:rPr>
                  <w:rFonts w:eastAsia="Times New Roman"/>
                  <w:color w:val="000000"/>
                  <w:szCs w:val="24"/>
                  <w:lang w:val="nl-BE"/>
                </w:rPr>
                <w:t xml:space="preserve"> </w:t>
              </w:r>
              <w:r w:rsidRPr="00730944">
                <w:rPr>
                  <w:rFonts w:eastAsia="Cambria"/>
                  <w:szCs w:val="24"/>
                  <w:lang w:val="nl-BE" w:eastAsia="fr-FR"/>
                </w:rPr>
                <w:t>ANEC-PT-2016-CE</w:t>
              </w:r>
              <w:r w:rsidR="002E1698">
                <w:rPr>
                  <w:rFonts w:eastAsia="Cambria"/>
                  <w:szCs w:val="24"/>
                  <w:lang w:val="nl-BE" w:eastAsia="fr-FR"/>
                </w:rPr>
                <w:t>G-</w:t>
              </w:r>
              <w:r w:rsidR="009A51E6">
                <w:rPr>
                  <w:rFonts w:eastAsia="Cambria"/>
                  <w:szCs w:val="24"/>
                  <w:lang w:val="nl-BE" w:eastAsia="fr-FR"/>
                </w:rPr>
                <w:t>019</w:t>
              </w:r>
            </w:p>
            <w:p w:rsidR="00730944" w:rsidRPr="00730944" w:rsidRDefault="00730944" w:rsidP="00730944">
              <w:pPr>
                <w:tabs>
                  <w:tab w:val="left" w:pos="615"/>
                </w:tabs>
                <w:ind w:right="360"/>
                <w:jc w:val="center"/>
                <w:rPr>
                  <w:rFonts w:eastAsia="Times New Roman"/>
                  <w:color w:val="000000"/>
                  <w:szCs w:val="24"/>
                  <w:lang w:val="nl-BE"/>
                </w:rPr>
              </w:pPr>
              <w:r w:rsidRPr="007A2EDB">
                <w:rPr>
                  <w:rFonts w:eastAsia="Times New Roman"/>
                  <w:color w:val="000000"/>
                  <w:szCs w:val="24"/>
                  <w:lang w:val="nl-BE"/>
                </w:rPr>
                <w:t>BEUC-X-2016-</w:t>
              </w:r>
              <w:r w:rsidR="007A2EDB" w:rsidRPr="007A2EDB">
                <w:rPr>
                  <w:rFonts w:eastAsia="Times New Roman"/>
                  <w:color w:val="000000"/>
                  <w:szCs w:val="24"/>
                  <w:lang w:val="nl-BE"/>
                </w:rPr>
                <w:t>048 – 24/05/2016</w:t>
              </w:r>
              <w:r w:rsidRPr="007A2EDB">
                <w:rPr>
                  <w:rFonts w:eastAsia="Times New Roman"/>
                  <w:color w:val="000000"/>
                  <w:szCs w:val="24"/>
                  <w:lang w:val="nl-BE"/>
                </w:rPr>
                <w:t xml:space="preserve">  </w:t>
              </w:r>
            </w:p>
          </w:tc>
          <w:tc>
            <w:tcPr>
              <w:tcW w:w="521" w:type="pct"/>
            </w:tcPr>
            <w:p w:rsidR="00730944" w:rsidRPr="00730944" w:rsidRDefault="00730944" w:rsidP="00730944">
              <w:pPr>
                <w:tabs>
                  <w:tab w:val="left" w:pos="1378"/>
                </w:tabs>
                <w:ind w:left="-167" w:right="360"/>
                <w:jc w:val="center"/>
                <w:rPr>
                  <w:rFonts w:eastAsia="Times New Roman"/>
                  <w:b/>
                  <w:color w:val="000000"/>
                  <w:szCs w:val="24"/>
                  <w:lang w:val="nl-BE"/>
                </w:rPr>
              </w:pPr>
            </w:p>
          </w:tc>
        </w:tr>
      </w:tbl>
      <w:p w:rsidR="00730944" w:rsidRPr="00730944" w:rsidRDefault="00730944" w:rsidP="00730944">
        <w:pPr>
          <w:tabs>
            <w:tab w:val="center" w:pos="4536"/>
            <w:tab w:val="right" w:pos="9072"/>
          </w:tabs>
          <w:ind w:right="-108"/>
          <w:jc w:val="center"/>
          <w:rPr>
            <w:rFonts w:eastAsia="Times New Roman"/>
            <w:color w:val="808080"/>
            <w:spacing w:val="-6"/>
            <w:sz w:val="18"/>
            <w:szCs w:val="18"/>
            <w:lang w:val="nl-BE" w:eastAsia="fr-FR"/>
          </w:rPr>
        </w:pPr>
      </w:p>
      <w:p w:rsidR="00730944" w:rsidRPr="00730944" w:rsidRDefault="00730944" w:rsidP="00730944">
        <w:pPr>
          <w:tabs>
            <w:tab w:val="center" w:pos="4536"/>
            <w:tab w:val="right" w:pos="9072"/>
          </w:tabs>
          <w:ind w:right="-108"/>
          <w:jc w:val="center"/>
          <w:rPr>
            <w:rFonts w:eastAsia="Times New Roman"/>
            <w:b/>
            <w:color w:val="808080"/>
            <w:sz w:val="15"/>
            <w:szCs w:val="15"/>
            <w:lang w:eastAsia="fr-FR"/>
          </w:rPr>
        </w:pPr>
        <w:r w:rsidRPr="00730944">
          <w:rPr>
            <w:rFonts w:eastAsia="Times New Roman"/>
            <w:b/>
            <w:color w:val="808080"/>
            <w:spacing w:val="-6"/>
            <w:sz w:val="15"/>
            <w:szCs w:val="15"/>
            <w:lang w:eastAsia="fr-FR"/>
          </w:rPr>
          <w:t>ANEC, the European Association for the Co-ordination of Consumer Representation in Standardisation</w:t>
        </w:r>
        <w:r w:rsidRPr="00730944">
          <w:rPr>
            <w:rFonts w:eastAsia="Times New Roman"/>
            <w:b/>
            <w:color w:val="808080"/>
            <w:sz w:val="15"/>
            <w:szCs w:val="15"/>
            <w:lang w:eastAsia="fr-FR"/>
          </w:rPr>
          <w:t xml:space="preserve">  </w:t>
        </w:r>
      </w:p>
      <w:p w:rsidR="00730944" w:rsidRPr="00730944" w:rsidRDefault="00730944" w:rsidP="00730944">
        <w:pPr>
          <w:tabs>
            <w:tab w:val="center" w:pos="4536"/>
            <w:tab w:val="right" w:pos="9072"/>
          </w:tabs>
          <w:ind w:right="-108"/>
          <w:jc w:val="center"/>
          <w:rPr>
            <w:rFonts w:eastAsia="Times New Roman"/>
            <w:color w:val="808080"/>
            <w:sz w:val="15"/>
            <w:szCs w:val="15"/>
            <w:lang w:val="fr-BE" w:eastAsia="fr-FR"/>
          </w:rPr>
        </w:pPr>
        <w:r w:rsidRPr="00730944">
          <w:rPr>
            <w:rFonts w:eastAsia="Times New Roman"/>
            <w:color w:val="808080"/>
            <w:sz w:val="15"/>
            <w:szCs w:val="15"/>
            <w:lang w:val="fr-BE" w:eastAsia="fr-FR"/>
          </w:rPr>
          <w:t xml:space="preserve">Av. de </w:t>
        </w:r>
        <w:proofErr w:type="spellStart"/>
        <w:r w:rsidRPr="00730944">
          <w:rPr>
            <w:rFonts w:eastAsia="Times New Roman"/>
            <w:color w:val="808080"/>
            <w:sz w:val="15"/>
            <w:szCs w:val="15"/>
            <w:lang w:val="fr-BE" w:eastAsia="fr-FR"/>
          </w:rPr>
          <w:t>Tervueren</w:t>
        </w:r>
        <w:proofErr w:type="spellEnd"/>
        <w:r w:rsidRPr="00730944">
          <w:rPr>
            <w:rFonts w:eastAsia="Times New Roman"/>
            <w:color w:val="808080"/>
            <w:sz w:val="15"/>
            <w:szCs w:val="15"/>
            <w:lang w:val="fr-BE" w:eastAsia="fr-FR"/>
          </w:rPr>
          <w:t xml:space="preserve"> 32, box 27 – 1040 Brussels - +32 (0)2 743 24 70 </w:t>
        </w:r>
        <w:r w:rsidR="00371895">
          <w:rPr>
            <w:rFonts w:eastAsia="Times New Roman"/>
            <w:color w:val="808080"/>
            <w:sz w:val="15"/>
            <w:szCs w:val="15"/>
            <w:lang w:val="fr-BE" w:eastAsia="fr-FR"/>
          </w:rPr>
          <w:t>–</w:t>
        </w:r>
        <w:r w:rsidRPr="00730944">
          <w:rPr>
            <w:rFonts w:eastAsia="Times New Roman"/>
            <w:color w:val="808080"/>
            <w:sz w:val="15"/>
            <w:szCs w:val="15"/>
            <w:lang w:val="fr-BE" w:eastAsia="fr-FR"/>
          </w:rPr>
          <w:t xml:space="preserve"> </w:t>
        </w:r>
        <w:r w:rsidR="00371895">
          <w:rPr>
            <w:rFonts w:eastAsia="Times New Roman"/>
            <w:color w:val="808080"/>
            <w:sz w:val="15"/>
            <w:szCs w:val="15"/>
            <w:lang w:val="fr-BE" w:eastAsia="fr-FR"/>
          </w:rPr>
          <w:t>www.anec.eu</w:t>
        </w:r>
      </w:p>
      <w:p w:rsidR="00730944" w:rsidRPr="00730944" w:rsidRDefault="00730944" w:rsidP="00730944">
        <w:pPr>
          <w:tabs>
            <w:tab w:val="center" w:pos="4536"/>
            <w:tab w:val="right" w:pos="9072"/>
          </w:tabs>
          <w:ind w:right="-108"/>
          <w:jc w:val="center"/>
          <w:rPr>
            <w:rFonts w:eastAsia="Times New Roman"/>
            <w:color w:val="808080"/>
            <w:sz w:val="15"/>
            <w:szCs w:val="15"/>
            <w:lang w:eastAsia="fr-FR"/>
          </w:rPr>
        </w:pPr>
        <w:r w:rsidRPr="00371895">
          <w:rPr>
            <w:rFonts w:eastAsia="Times New Roman"/>
            <w:color w:val="808080"/>
            <w:sz w:val="15"/>
            <w:szCs w:val="15"/>
            <w:lang w:val="fr-BE" w:eastAsia="fr-FR"/>
          </w:rPr>
          <w:t xml:space="preserve"> </w:t>
        </w:r>
        <w:r w:rsidRPr="00730944">
          <w:rPr>
            <w:rFonts w:eastAsia="Times New Roman"/>
            <w:color w:val="808080"/>
            <w:sz w:val="15"/>
            <w:szCs w:val="15"/>
            <w:lang w:eastAsia="fr-FR"/>
          </w:rPr>
          <w:sym w:font="Wingdings" w:char="F026"/>
        </w:r>
        <w:r w:rsidRPr="00730944">
          <w:rPr>
            <w:rFonts w:eastAsia="Times New Roman"/>
            <w:color w:val="808080"/>
            <w:sz w:val="15"/>
            <w:szCs w:val="15"/>
            <w:lang w:eastAsia="fr-FR"/>
          </w:rPr>
          <w:t xml:space="preserve">  </w:t>
        </w:r>
        <w:hyperlink r:id="rId3" w:anchor="en" w:tooltip="https://webgate.ec.europa.eu/transparency/regrin/welcome.do?locale=en#en" w:history="1">
          <w:r w:rsidRPr="00730944">
            <w:rPr>
              <w:rFonts w:eastAsia="Times New Roman"/>
              <w:bCs/>
              <w:color w:val="808080"/>
              <w:sz w:val="15"/>
              <w:szCs w:val="15"/>
              <w:lang w:val="en-US" w:eastAsia="fr-FR"/>
            </w:rPr>
            <w:t>EC register for interest representatives</w:t>
          </w:r>
        </w:hyperlink>
        <w:r w:rsidRPr="00730944">
          <w:rPr>
            <w:rFonts w:eastAsia="Times New Roman"/>
            <w:color w:val="808080"/>
            <w:sz w:val="15"/>
            <w:szCs w:val="15"/>
            <w:lang w:eastAsia="fr-FR"/>
          </w:rPr>
          <w:t xml:space="preserve">: identification number 507800799-30  </w:t>
        </w:r>
        <w:r w:rsidRPr="00730944">
          <w:rPr>
            <w:rFonts w:eastAsia="Times New Roman"/>
            <w:color w:val="808080"/>
            <w:sz w:val="15"/>
            <w:szCs w:val="15"/>
            <w:lang w:eastAsia="fr-FR"/>
          </w:rPr>
          <w:sym w:font="Wingdings" w:char="F026"/>
        </w:r>
      </w:p>
      <w:p w:rsidR="00730944" w:rsidRPr="00730944" w:rsidRDefault="00730944" w:rsidP="00730944">
        <w:pPr>
          <w:tabs>
            <w:tab w:val="center" w:pos="4536"/>
            <w:tab w:val="right" w:pos="9072"/>
          </w:tabs>
          <w:ind w:right="-108"/>
          <w:jc w:val="center"/>
          <w:rPr>
            <w:rFonts w:eastAsia="Times New Roman"/>
            <w:color w:val="808080"/>
            <w:sz w:val="15"/>
            <w:szCs w:val="15"/>
            <w:lang w:eastAsia="fr-FR"/>
          </w:rPr>
        </w:pPr>
      </w:p>
      <w:p w:rsidR="00730944" w:rsidRPr="00592C57" w:rsidRDefault="00730944" w:rsidP="00730944">
        <w:pPr>
          <w:tabs>
            <w:tab w:val="center" w:pos="4536"/>
            <w:tab w:val="right" w:pos="9072"/>
          </w:tabs>
          <w:ind w:right="-108"/>
          <w:jc w:val="center"/>
          <w:rPr>
            <w:rFonts w:eastAsia="Times New Roman"/>
            <w:b/>
            <w:color w:val="808080"/>
            <w:sz w:val="15"/>
            <w:szCs w:val="15"/>
            <w:lang w:val="fr-BE" w:eastAsia="fr-FR"/>
          </w:rPr>
        </w:pPr>
        <w:r w:rsidRPr="00592C57">
          <w:rPr>
            <w:rFonts w:eastAsia="Times New Roman"/>
            <w:b/>
            <w:color w:val="808080"/>
            <w:sz w:val="15"/>
            <w:szCs w:val="15"/>
            <w:lang w:val="fr-BE" w:eastAsia="fr-FR"/>
          </w:rPr>
          <w:t>BEUC, the European Consumer Organisation</w:t>
        </w:r>
      </w:p>
      <w:p w:rsidR="00730944" w:rsidRPr="00730944" w:rsidRDefault="00730944" w:rsidP="00730944">
        <w:pPr>
          <w:tabs>
            <w:tab w:val="center" w:pos="4536"/>
            <w:tab w:val="right" w:pos="9072"/>
          </w:tabs>
          <w:ind w:right="-108"/>
          <w:jc w:val="center"/>
          <w:rPr>
            <w:rFonts w:eastAsia="Times New Roman"/>
            <w:color w:val="808080"/>
            <w:sz w:val="15"/>
            <w:szCs w:val="15"/>
            <w:lang w:val="fr-FR" w:eastAsia="fr-FR"/>
          </w:rPr>
        </w:pPr>
        <w:proofErr w:type="gramStart"/>
        <w:r w:rsidRPr="00730944">
          <w:rPr>
            <w:rFonts w:eastAsia="Times New Roman"/>
            <w:color w:val="808080"/>
            <w:sz w:val="15"/>
            <w:szCs w:val="15"/>
            <w:lang w:val="fr-FR" w:eastAsia="fr-FR"/>
          </w:rPr>
          <w:t>rue</w:t>
        </w:r>
        <w:proofErr w:type="gramEnd"/>
        <w:r w:rsidRPr="00730944">
          <w:rPr>
            <w:rFonts w:eastAsia="Times New Roman"/>
            <w:color w:val="808080"/>
            <w:sz w:val="15"/>
            <w:szCs w:val="15"/>
            <w:lang w:val="fr-FR" w:eastAsia="fr-FR"/>
          </w:rPr>
          <w:t xml:space="preserve"> d’Arlon, 80 -  1040 Brussels - +32 (0)2 743 15 90 - </w:t>
        </w:r>
        <w:hyperlink r:id="rId4" w:history="1">
          <w:r w:rsidRPr="00730944">
            <w:rPr>
              <w:rFonts w:eastAsia="Times New Roman"/>
              <w:color w:val="808080"/>
              <w:sz w:val="15"/>
              <w:szCs w:val="15"/>
              <w:lang w:val="fr-FR" w:eastAsia="fr-FR"/>
            </w:rPr>
            <w:t>www.beuc.eu</w:t>
          </w:r>
        </w:hyperlink>
      </w:p>
      <w:p w:rsidR="00730944" w:rsidRPr="00730944" w:rsidRDefault="00730944" w:rsidP="00730944">
        <w:pPr>
          <w:tabs>
            <w:tab w:val="center" w:pos="4536"/>
            <w:tab w:val="right" w:pos="9072"/>
          </w:tabs>
          <w:ind w:right="-108"/>
          <w:jc w:val="center"/>
          <w:rPr>
            <w:rFonts w:eastAsia="Times New Roman"/>
            <w:color w:val="808080"/>
            <w:sz w:val="15"/>
            <w:szCs w:val="15"/>
            <w:lang w:eastAsia="fr-FR"/>
          </w:rPr>
        </w:pPr>
        <w:r w:rsidRPr="00730944">
          <w:rPr>
            <w:rFonts w:eastAsia="Times New Roman"/>
            <w:color w:val="808080"/>
            <w:sz w:val="15"/>
            <w:szCs w:val="15"/>
            <w:lang w:eastAsia="fr-FR"/>
          </w:rPr>
          <w:sym w:font="Wingdings" w:char="F026"/>
        </w:r>
        <w:r w:rsidRPr="00730944">
          <w:rPr>
            <w:rFonts w:eastAsia="Times New Roman"/>
            <w:color w:val="808080"/>
            <w:sz w:val="15"/>
            <w:szCs w:val="15"/>
            <w:lang w:eastAsia="fr-FR"/>
          </w:rPr>
          <w:t xml:space="preserve">  </w:t>
        </w:r>
        <w:hyperlink r:id="rId5" w:anchor="en" w:tooltip="https://webgate.ec.europa.eu/transparency/regrin/welcome.do?locale=en#en" w:history="1">
          <w:r w:rsidRPr="00730944">
            <w:rPr>
              <w:rFonts w:eastAsia="Times New Roman"/>
              <w:color w:val="808080"/>
              <w:sz w:val="15"/>
              <w:szCs w:val="15"/>
              <w:lang w:val="en-US" w:eastAsia="fr-FR"/>
            </w:rPr>
            <w:t>EC register for interest representatives</w:t>
          </w:r>
        </w:hyperlink>
        <w:r w:rsidRPr="00730944">
          <w:rPr>
            <w:rFonts w:eastAsia="Times New Roman"/>
            <w:color w:val="808080"/>
            <w:sz w:val="15"/>
            <w:szCs w:val="15"/>
            <w:lang w:eastAsia="fr-FR"/>
          </w:rPr>
          <w:t xml:space="preserve">: identification number 9505781573-45  </w:t>
        </w:r>
        <w:r w:rsidRPr="00730944">
          <w:rPr>
            <w:rFonts w:eastAsia="Times New Roman"/>
            <w:color w:val="808080"/>
            <w:sz w:val="15"/>
            <w:szCs w:val="15"/>
            <w:lang w:eastAsia="fr-FR"/>
          </w:rPr>
          <w:sym w:font="Wingdings" w:char="F026"/>
        </w:r>
      </w:p>
      <w:p w:rsidR="00730944" w:rsidRDefault="00730944" w:rsidP="00CC1F6E">
        <w:pPr>
          <w:pStyle w:val="Footer"/>
          <w:jc w:val="right"/>
        </w:pPr>
      </w:p>
      <w:p w:rsidR="00730944" w:rsidRDefault="00730944" w:rsidP="00CC1F6E">
        <w:pPr>
          <w:pStyle w:val="Footer"/>
          <w:jc w:val="right"/>
        </w:pPr>
      </w:p>
      <w:p w:rsidR="00730944" w:rsidRDefault="00730944" w:rsidP="00CC1F6E">
        <w:pPr>
          <w:pStyle w:val="Footer"/>
          <w:jc w:val="right"/>
        </w:pPr>
      </w:p>
      <w:p w:rsidR="00730944" w:rsidRDefault="00730944" w:rsidP="00CC1F6E">
        <w:pPr>
          <w:pStyle w:val="Footer"/>
          <w:jc w:val="right"/>
        </w:pPr>
      </w:p>
      <w:p w:rsidR="002B28DE" w:rsidRDefault="002B28DE" w:rsidP="00CC1F6E">
        <w:pPr>
          <w:pStyle w:val="Footer"/>
          <w:jc w:val="right"/>
        </w:pPr>
        <w:r>
          <w:fldChar w:fldCharType="begin"/>
        </w:r>
        <w:r>
          <w:instrText xml:space="preserve"> PAGE   \* MERGEFORMAT </w:instrText>
        </w:r>
        <w:r>
          <w:fldChar w:fldCharType="separate"/>
        </w:r>
        <w:r w:rsidR="00D243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DE" w:rsidRDefault="007555DE" w:rsidP="00181B09">
      <w:r>
        <w:separator/>
      </w:r>
    </w:p>
  </w:footnote>
  <w:footnote w:type="continuationSeparator" w:id="0">
    <w:p w:rsidR="007555DE" w:rsidRDefault="007555DE" w:rsidP="00181B09">
      <w:r>
        <w:continuationSeparator/>
      </w:r>
    </w:p>
  </w:footnote>
  <w:footnote w:id="1">
    <w:p w:rsidR="00894BDD" w:rsidRPr="00894BDD" w:rsidRDefault="00894BDD" w:rsidP="00F8600B">
      <w:pPr>
        <w:pStyle w:val="FootnoteText"/>
        <w:ind w:left="284" w:hanging="284"/>
        <w:rPr>
          <w:szCs w:val="16"/>
          <w:lang w:val="en-US"/>
        </w:rPr>
      </w:pPr>
      <w:r w:rsidRPr="00894BDD">
        <w:rPr>
          <w:rStyle w:val="FootnoteReference"/>
          <w:szCs w:val="16"/>
        </w:rPr>
        <w:footnoteRef/>
      </w:r>
      <w:r w:rsidRPr="00894BDD">
        <w:rPr>
          <w:szCs w:val="16"/>
        </w:rPr>
        <w:t xml:space="preserve"> </w:t>
      </w:r>
      <w:r w:rsidR="00F8600B">
        <w:rPr>
          <w:szCs w:val="16"/>
        </w:rPr>
        <w:tab/>
        <w:t xml:space="preserve">European Commission, </w:t>
      </w:r>
      <w:r w:rsidR="00F8600B" w:rsidRPr="00F8600B">
        <w:rPr>
          <w:szCs w:val="16"/>
        </w:rPr>
        <w:t>Fitness check on the most relevant chemicals legislation (excluding REACH), as well as related aspects of legislation applied to downstream industries</w:t>
      </w:r>
      <w:r w:rsidR="00F8600B">
        <w:rPr>
          <w:szCs w:val="16"/>
        </w:rPr>
        <w:t xml:space="preserve">. </w:t>
      </w:r>
      <w:hyperlink r:id="rId1" w:history="1">
        <w:r w:rsidR="009A51E6" w:rsidRPr="009A51E6">
          <w:rPr>
            <w:rStyle w:val="Hyperlink"/>
            <w:szCs w:val="16"/>
          </w:rPr>
          <w:t>Background document</w:t>
        </w:r>
      </w:hyperlink>
      <w:r w:rsidR="00F8600B">
        <w:rPr>
          <w:szCs w:val="16"/>
        </w:rPr>
        <w:t>, no date.</w:t>
      </w:r>
    </w:p>
  </w:footnote>
  <w:footnote w:id="2">
    <w:p w:rsidR="00894BDD" w:rsidRPr="00894BDD" w:rsidRDefault="00894BDD" w:rsidP="00894BDD">
      <w:pPr>
        <w:pStyle w:val="FootnoteText"/>
        <w:ind w:left="284" w:hanging="284"/>
        <w:rPr>
          <w:szCs w:val="16"/>
          <w:lang w:val="en-US"/>
        </w:rPr>
      </w:pPr>
      <w:r w:rsidRPr="00894BDD">
        <w:rPr>
          <w:rStyle w:val="FootnoteReference"/>
          <w:szCs w:val="16"/>
        </w:rPr>
        <w:footnoteRef/>
      </w:r>
      <w:r w:rsidRPr="00894BDD">
        <w:rPr>
          <w:szCs w:val="16"/>
        </w:rPr>
        <w:t xml:space="preserve"> </w:t>
      </w:r>
      <w:r>
        <w:rPr>
          <w:szCs w:val="16"/>
        </w:rPr>
        <w:tab/>
      </w:r>
      <w:hyperlink r:id="rId2" w:history="1">
        <w:r w:rsidRPr="000A5303">
          <w:rPr>
            <w:rStyle w:val="Hyperlink"/>
            <w:szCs w:val="16"/>
          </w:rPr>
          <w:t>http://ec.europa.eu/growth/tools-databases/newsroom/cf/itemdetail.cfm?item_id=8695&amp;lang=en&amp;title=</w:t>
        </w:r>
        <w:r w:rsidRPr="000A5303">
          <w:rPr>
            <w:rStyle w:val="Hyperlink"/>
            <w:szCs w:val="16"/>
          </w:rPr>
          <w:br/>
          <w:t>Consultation-on-the-regulatory-fitness-of-chemicals-legislation-%28excluding-REACH%29</w:t>
        </w:r>
      </w:hyperlink>
    </w:p>
  </w:footnote>
  <w:footnote w:id="3">
    <w:p w:rsidR="001C1727" w:rsidRPr="00C31AB5" w:rsidRDefault="00E429CE" w:rsidP="00E429CE">
      <w:pPr>
        <w:pStyle w:val="FootnoteText"/>
        <w:ind w:left="284" w:hanging="284"/>
        <w:rPr>
          <w:lang w:val="en-US"/>
        </w:rPr>
      </w:pPr>
      <w:r>
        <w:rPr>
          <w:rStyle w:val="FootnoteReference"/>
        </w:rPr>
        <w:footnoteRef/>
      </w:r>
      <w:r>
        <w:t xml:space="preserve"> </w:t>
      </w:r>
      <w:r>
        <w:tab/>
      </w:r>
      <w:hyperlink r:id="rId3" w:history="1">
        <w:r w:rsidR="001C1727" w:rsidRPr="00EF4A86">
          <w:rPr>
            <w:rStyle w:val="Hyperlink"/>
          </w:rPr>
          <w:t>http://ec.europa.eu/smart-regulation/guidelines/docs/swd_br_guidelines_en.pdf</w:t>
        </w:r>
      </w:hyperlink>
    </w:p>
  </w:footnote>
  <w:footnote w:id="4">
    <w:p w:rsidR="001454EC" w:rsidRPr="000000F4" w:rsidRDefault="001454EC" w:rsidP="001454EC">
      <w:pPr>
        <w:pStyle w:val="FootnoteText"/>
        <w:ind w:left="284" w:hanging="284"/>
        <w:rPr>
          <w:szCs w:val="16"/>
          <w:lang w:val="en-US"/>
        </w:rPr>
      </w:pPr>
      <w:r w:rsidRPr="00894BDD">
        <w:rPr>
          <w:rStyle w:val="FootnoteReference"/>
          <w:szCs w:val="16"/>
        </w:rPr>
        <w:footnoteRef/>
      </w:r>
      <w:r w:rsidRPr="00894BDD">
        <w:rPr>
          <w:szCs w:val="16"/>
        </w:rPr>
        <w:t xml:space="preserve"> </w:t>
      </w:r>
      <w:r>
        <w:rPr>
          <w:szCs w:val="16"/>
        </w:rPr>
        <w:tab/>
      </w:r>
      <w:r w:rsidRPr="001454EC">
        <w:rPr>
          <w:szCs w:val="16"/>
        </w:rPr>
        <w:t>The Commission explains that “Roadmaps give a first description of planned Commission initiatives. They describe the problem that the initiative aims to address and possible policy options. They also provide an overview of the different planned stages in the development of the initiative, including consultation of stakeholders and impact assessment work.”</w:t>
      </w:r>
      <w:r>
        <w:rPr>
          <w:szCs w:val="16"/>
        </w:rPr>
        <w:t xml:space="preserve"> </w:t>
      </w:r>
      <w:hyperlink r:id="rId4" w:history="1">
        <w:r w:rsidRPr="0075438F">
          <w:rPr>
            <w:rStyle w:val="Hyperlink"/>
            <w:szCs w:val="16"/>
          </w:rPr>
          <w:t>http://ec.europa.eu/smart-regulation/impact/planned_ia/</w:t>
        </w:r>
        <w:r w:rsidRPr="0075438F">
          <w:rPr>
            <w:rStyle w:val="Hyperlink"/>
            <w:szCs w:val="16"/>
          </w:rPr>
          <w:br/>
          <w:t>planned_ia_en.htm</w:t>
        </w:r>
      </w:hyperlink>
      <w:r w:rsidRPr="00894BDD">
        <w:rPr>
          <w:szCs w:val="16"/>
        </w:rPr>
        <w:t xml:space="preserve"> </w:t>
      </w:r>
    </w:p>
  </w:footnote>
  <w:footnote w:id="5">
    <w:p w:rsidR="009A51E6" w:rsidRPr="00CD5C5A" w:rsidRDefault="00CD5C5A" w:rsidP="00CD5C5A">
      <w:pPr>
        <w:pStyle w:val="FootnoteText"/>
        <w:ind w:left="284" w:hanging="284"/>
        <w:rPr>
          <w:lang w:val="en-US"/>
        </w:rPr>
      </w:pPr>
      <w:r>
        <w:rPr>
          <w:rStyle w:val="FootnoteReference"/>
        </w:rPr>
        <w:footnoteRef/>
      </w:r>
      <w:r>
        <w:t xml:space="preserve"> </w:t>
      </w:r>
      <w:r>
        <w:tab/>
      </w:r>
      <w:r>
        <w:rPr>
          <w:szCs w:val="16"/>
        </w:rPr>
        <w:t xml:space="preserve">European Commission, Roadmap: </w:t>
      </w:r>
      <w:r w:rsidRPr="00F8600B">
        <w:rPr>
          <w:szCs w:val="16"/>
        </w:rPr>
        <w:t>Fitness check on the most relevant chemicals legislation (excluding REACH), as well as related aspects of legislation applied to downstream industries</w:t>
      </w:r>
      <w:r>
        <w:rPr>
          <w:szCs w:val="16"/>
        </w:rPr>
        <w:t>, 18 May 2016.</w:t>
      </w:r>
      <w:r w:rsidR="009A51E6">
        <w:rPr>
          <w:szCs w:val="16"/>
        </w:rPr>
        <w:t xml:space="preserve"> </w:t>
      </w:r>
      <w:hyperlink r:id="rId5" w:history="1">
        <w:r w:rsidR="009A51E6" w:rsidRPr="00E33544">
          <w:rPr>
            <w:rStyle w:val="Hyperlink"/>
            <w:szCs w:val="16"/>
          </w:rPr>
          <w:t>http://ec.europa.eu/smart-regulation/roadmaps/docs/2017_env_005_reach_refit_en.pdf</w:t>
        </w:r>
      </w:hyperlink>
    </w:p>
  </w:footnote>
  <w:footnote w:id="6">
    <w:p w:rsidR="00141DA3" w:rsidRPr="00894BDD" w:rsidRDefault="00141DA3" w:rsidP="00141DA3">
      <w:pPr>
        <w:pStyle w:val="FootnoteText"/>
        <w:ind w:left="284" w:hanging="284"/>
        <w:rPr>
          <w:szCs w:val="16"/>
          <w:lang w:val="en-US"/>
        </w:rPr>
      </w:pPr>
      <w:r w:rsidRPr="00894BDD">
        <w:rPr>
          <w:rStyle w:val="FootnoteReference"/>
          <w:szCs w:val="16"/>
        </w:rPr>
        <w:footnoteRef/>
      </w:r>
      <w:r w:rsidRPr="00894BDD">
        <w:rPr>
          <w:szCs w:val="16"/>
        </w:rPr>
        <w:t xml:space="preserve"> </w:t>
      </w:r>
      <w:r w:rsidR="00D52B2C">
        <w:rPr>
          <w:szCs w:val="16"/>
        </w:rPr>
        <w:tab/>
      </w:r>
      <w:hyperlink r:id="rId6" w:history="1">
        <w:r w:rsidRPr="00894BDD">
          <w:rPr>
            <w:rStyle w:val="Hyperlink"/>
            <w:szCs w:val="16"/>
          </w:rPr>
          <w:t>http://ec.europa.eu/growth/sectors/chemicals/ec-support/index_en.htm</w:t>
        </w:r>
      </w:hyperlink>
    </w:p>
  </w:footnote>
  <w:footnote w:id="7">
    <w:p w:rsidR="0031473E" w:rsidRPr="0031473E" w:rsidRDefault="0031473E" w:rsidP="0031473E">
      <w:pPr>
        <w:pStyle w:val="FootnoteText"/>
        <w:ind w:left="284" w:hanging="284"/>
        <w:rPr>
          <w:lang w:val="en-US"/>
        </w:rPr>
      </w:pPr>
      <w:r>
        <w:rPr>
          <w:rStyle w:val="FootnoteReference"/>
        </w:rPr>
        <w:footnoteRef/>
      </w:r>
      <w:r>
        <w:t xml:space="preserve"> </w:t>
      </w:r>
      <w:r>
        <w:tab/>
      </w:r>
      <w:r w:rsidR="002A35E7">
        <w:rPr>
          <w:szCs w:val="16"/>
        </w:rPr>
        <w:t xml:space="preserve">European Commission, Roadmap: </w:t>
      </w:r>
      <w:r w:rsidR="002A35E7" w:rsidRPr="00F8600B">
        <w:rPr>
          <w:szCs w:val="16"/>
        </w:rPr>
        <w:t>Fitness check on the most relevant chemicals legislation (excluding REACH), as well as related aspects of legislation applied to downstream industries</w:t>
      </w:r>
      <w:r w:rsidR="002A35E7">
        <w:rPr>
          <w:szCs w:val="16"/>
        </w:rPr>
        <w:t>, 18 May 2016.</w:t>
      </w:r>
    </w:p>
  </w:footnote>
  <w:footnote w:id="8">
    <w:p w:rsidR="00081422" w:rsidRPr="00155A57" w:rsidRDefault="00081422" w:rsidP="00081422">
      <w:pPr>
        <w:pStyle w:val="FootnoteText"/>
        <w:ind w:left="284" w:hanging="284"/>
        <w:rPr>
          <w:lang w:val="en-US"/>
        </w:rPr>
      </w:pPr>
      <w:r>
        <w:rPr>
          <w:rStyle w:val="FootnoteReference"/>
        </w:rPr>
        <w:footnoteRef/>
      </w:r>
      <w:r>
        <w:t xml:space="preserve"> </w:t>
      </w:r>
      <w:r>
        <w:tab/>
      </w:r>
      <w:r>
        <w:rPr>
          <w:lang w:val="en-US"/>
        </w:rPr>
        <w:t xml:space="preserve">See </w:t>
      </w:r>
      <w:r>
        <w:rPr>
          <w:i/>
          <w:lang w:val="en-US"/>
        </w:rPr>
        <w:t xml:space="preserve">e.g. </w:t>
      </w:r>
      <w:hyperlink r:id="rId7" w:history="1">
        <w:r w:rsidRPr="00FE3C09">
          <w:rPr>
            <w:rStyle w:val="Hyperlink"/>
            <w:i/>
            <w:lang w:val="en-US"/>
          </w:rPr>
          <w:t>http://chemsec.org/news/news-2016/january-march/1538-hazard-vs-risk-what-is-best-practice-when-assessing-chemicals</w:t>
        </w:r>
      </w:hyperlink>
    </w:p>
  </w:footnote>
  <w:footnote w:id="9">
    <w:p w:rsidR="00B25B1C" w:rsidRPr="00B25B1C" w:rsidRDefault="00B25B1C" w:rsidP="00B25B1C">
      <w:pPr>
        <w:pStyle w:val="FootnoteText"/>
        <w:ind w:left="284" w:hanging="284"/>
        <w:rPr>
          <w:lang w:val="en-US"/>
        </w:rPr>
      </w:pPr>
      <w:r>
        <w:rPr>
          <w:rStyle w:val="FootnoteReference"/>
        </w:rPr>
        <w:footnoteRef/>
      </w:r>
      <w:r>
        <w:t xml:space="preserve"> </w:t>
      </w:r>
      <w:r>
        <w:tab/>
      </w:r>
      <w:r>
        <w:rPr>
          <w:lang w:val="en-US"/>
        </w:rPr>
        <w:t xml:space="preserve">European Commission, </w:t>
      </w:r>
      <w:r w:rsidRPr="00B25B1C">
        <w:rPr>
          <w:lang w:val="en-US"/>
        </w:rPr>
        <w:t>Study on t</w:t>
      </w:r>
      <w:r>
        <w:rPr>
          <w:lang w:val="en-US"/>
        </w:rPr>
        <w:t>he regulatory fitness of the legislative framework governing the risk management of chemicals (excluding REACH), in particular the CLP Regulation and related legislation, December 2014.</w:t>
      </w:r>
    </w:p>
  </w:footnote>
  <w:footnote w:id="10">
    <w:p w:rsidR="00240314" w:rsidRPr="00240314" w:rsidRDefault="00240314" w:rsidP="00240314">
      <w:pPr>
        <w:pStyle w:val="FootnoteText"/>
        <w:ind w:left="284" w:hanging="284"/>
        <w:rPr>
          <w:lang w:val="en-US"/>
        </w:rPr>
      </w:pPr>
      <w:r>
        <w:rPr>
          <w:rStyle w:val="FootnoteReference"/>
        </w:rPr>
        <w:footnoteRef/>
      </w:r>
      <w:r>
        <w:t xml:space="preserve"> </w:t>
      </w:r>
      <w:r>
        <w:tab/>
        <w:t xml:space="preserve">See for example European Environment Agency, </w:t>
      </w:r>
      <w:r w:rsidRPr="00240314">
        <w:t>Late lessons from early warnings:</w:t>
      </w:r>
      <w:r>
        <w:t xml:space="preserve"> </w:t>
      </w:r>
      <w:r w:rsidRPr="00240314">
        <w:t>science, precaution, innovation</w:t>
      </w:r>
      <w:r>
        <w:t xml:space="preserve">, 2013. </w:t>
      </w:r>
    </w:p>
  </w:footnote>
  <w:footnote w:id="11">
    <w:p w:rsidR="008E3B15" w:rsidRPr="008E3B15" w:rsidRDefault="008E3B15" w:rsidP="008E3B15">
      <w:pPr>
        <w:pStyle w:val="FootnoteText"/>
        <w:ind w:left="284" w:hanging="284"/>
        <w:rPr>
          <w:lang w:val="en-US"/>
        </w:rPr>
      </w:pPr>
      <w:r>
        <w:rPr>
          <w:rStyle w:val="FootnoteReference"/>
        </w:rPr>
        <w:footnoteRef/>
      </w:r>
      <w:r>
        <w:t xml:space="preserve"> </w:t>
      </w:r>
      <w:r>
        <w:tab/>
      </w:r>
      <w:r w:rsidRPr="008E3B15">
        <w:t>Decision No 1386/2013/EU of the European Parliament and the Council of 20 November 2013 on a General Union Environment Action Programme to 2020 ‘Living well, within the limits of our planet’</w:t>
      </w:r>
      <w:r>
        <w:t xml:space="preserve">. </w:t>
      </w:r>
      <w:hyperlink r:id="rId8" w:history="1">
        <w:r w:rsidR="00D06C1B" w:rsidRPr="00D06C1B">
          <w:rPr>
            <w:rStyle w:val="Hyperlink"/>
          </w:rPr>
          <w:t>http://eur-lex.europa.eu/legal-content/EN/TXT/HTML/?uri=CELEX:32013D1386&amp;from=EN</w:t>
        </w:r>
      </w:hyperlink>
      <w:r w:rsidRPr="008E3B15">
        <w:t xml:space="preserve">  </w:t>
      </w:r>
    </w:p>
  </w:footnote>
  <w:footnote w:id="12">
    <w:p w:rsidR="00C63E43" w:rsidRPr="00C63E43" w:rsidRDefault="00C63E43" w:rsidP="00C63E43">
      <w:pPr>
        <w:pStyle w:val="FootnoteText"/>
        <w:ind w:left="284" w:hanging="284"/>
        <w:rPr>
          <w:lang w:val="en-US"/>
        </w:rPr>
      </w:pPr>
      <w:r>
        <w:rPr>
          <w:rStyle w:val="FootnoteReference"/>
        </w:rPr>
        <w:footnoteRef/>
      </w:r>
      <w:r>
        <w:t xml:space="preserve"> </w:t>
      </w:r>
      <w:r>
        <w:tab/>
      </w:r>
      <w:hyperlink r:id="rId9" w:history="1">
        <w:r w:rsidRPr="00935DF9">
          <w:rPr>
            <w:rStyle w:val="Hyperlink"/>
          </w:rPr>
          <w:t>http://eur-lex.europa.eu/legal-content/EN/TXT/?uri=CELEX%3A32013D1386</w:t>
        </w:r>
      </w:hyperlink>
      <w:r w:rsidRPr="00C63E43">
        <w:t xml:space="preserve"> </w:t>
      </w:r>
    </w:p>
  </w:footnote>
  <w:footnote w:id="13">
    <w:p w:rsidR="00FA0576" w:rsidRPr="00924FA5" w:rsidRDefault="00924FA5" w:rsidP="00924FA5">
      <w:pPr>
        <w:pStyle w:val="FootnoteText"/>
        <w:ind w:left="284" w:hanging="284"/>
        <w:rPr>
          <w:lang w:val="en-US"/>
        </w:rPr>
      </w:pPr>
      <w:r>
        <w:rPr>
          <w:rStyle w:val="FootnoteReference"/>
        </w:rPr>
        <w:footnoteRef/>
      </w:r>
      <w:r>
        <w:t xml:space="preserve"> </w:t>
      </w:r>
      <w:r>
        <w:tab/>
      </w:r>
      <w:r>
        <w:rPr>
          <w:lang w:val="en-US"/>
        </w:rPr>
        <w:t xml:space="preserve">See ANEC, </w:t>
      </w:r>
      <w:r w:rsidRPr="00924FA5">
        <w:rPr>
          <w:lang w:val="en-US"/>
        </w:rPr>
        <w:t>Position Paper</w:t>
      </w:r>
      <w:r>
        <w:rPr>
          <w:lang w:val="en-US"/>
        </w:rPr>
        <w:t xml:space="preserve">. </w:t>
      </w:r>
      <w:r w:rsidRPr="00924FA5">
        <w:rPr>
          <w:lang w:val="en-US"/>
        </w:rPr>
        <w:t>Hazardous chemicals in products - The need for enhanced EU regulations</w:t>
      </w:r>
      <w:r>
        <w:rPr>
          <w:lang w:val="en-US"/>
        </w:rPr>
        <w:t>, June 2014</w:t>
      </w:r>
      <w:r w:rsidR="00154755" w:rsidRPr="00154755">
        <w:rPr>
          <w:lang w:val="en-US"/>
        </w:rPr>
        <w:t xml:space="preserve">, </w:t>
      </w:r>
      <w:hyperlink r:id="rId10" w:history="1">
        <w:r w:rsidR="00FA0576" w:rsidRPr="00A36120">
          <w:rPr>
            <w:rStyle w:val="Hyperlink"/>
            <w:lang w:val="en-US"/>
          </w:rPr>
          <w:t>http://www.anec.eu/attachments/ANEC-PT-2014-CEG-002.pdf</w:t>
        </w:r>
      </w:hyperlink>
    </w:p>
  </w:footnote>
  <w:footnote w:id="14">
    <w:p w:rsidR="00D06C1B" w:rsidRPr="00D06C1B" w:rsidRDefault="00D06C1B" w:rsidP="00D06C1B">
      <w:pPr>
        <w:pStyle w:val="FootnoteText"/>
        <w:ind w:left="284" w:hanging="284"/>
        <w:rPr>
          <w:lang w:val="en-US"/>
        </w:rPr>
      </w:pPr>
      <w:r>
        <w:rPr>
          <w:rStyle w:val="FootnoteReference"/>
        </w:rPr>
        <w:footnoteRef/>
      </w:r>
      <w:r>
        <w:t xml:space="preserve"> </w:t>
      </w:r>
      <w:r>
        <w:tab/>
      </w:r>
      <w:r>
        <w:rPr>
          <w:lang w:val="en-US"/>
        </w:rPr>
        <w:t xml:space="preserve">See </w:t>
      </w:r>
      <w:r w:rsidRPr="00D06C1B">
        <w:t>ANEC and BEUC, EU Subgroup on chemicals in toys fails its mission. Critical review, November 2012.</w:t>
      </w:r>
      <w:r>
        <w:t xml:space="preserve"> </w:t>
      </w:r>
      <w:hyperlink r:id="rId11" w:history="1">
        <w:r w:rsidRPr="00D06C1B">
          <w:rPr>
            <w:rStyle w:val="Hyperlink"/>
          </w:rPr>
          <w:t>http://www.beuc.eu/publications/2012-00799-01-e.pdf</w:t>
        </w:r>
      </w:hyperlink>
    </w:p>
  </w:footnote>
  <w:footnote w:id="15">
    <w:p w:rsidR="00633CC3" w:rsidRPr="00DB540F" w:rsidRDefault="00DB540F" w:rsidP="00DB540F">
      <w:pPr>
        <w:pStyle w:val="FootnoteText"/>
        <w:ind w:left="284" w:hanging="284"/>
        <w:rPr>
          <w:lang w:val="en-US"/>
        </w:rPr>
      </w:pPr>
      <w:r>
        <w:rPr>
          <w:rStyle w:val="FootnoteReference"/>
        </w:rPr>
        <w:footnoteRef/>
      </w:r>
      <w:r>
        <w:t xml:space="preserve"> </w:t>
      </w:r>
      <w:r>
        <w:tab/>
      </w:r>
      <w:r>
        <w:rPr>
          <w:lang w:val="en-US"/>
        </w:rPr>
        <w:t xml:space="preserve">See </w:t>
      </w:r>
      <w:proofErr w:type="spellStart"/>
      <w:r>
        <w:rPr>
          <w:lang w:val="en-US"/>
        </w:rPr>
        <w:t>CHEMTrust</w:t>
      </w:r>
      <w:proofErr w:type="spellEnd"/>
      <w:r>
        <w:rPr>
          <w:lang w:val="en-US"/>
        </w:rPr>
        <w:t xml:space="preserve">, </w:t>
      </w:r>
      <w:r w:rsidRPr="00DB540F">
        <w:rPr>
          <w:lang w:val="en-US"/>
        </w:rPr>
        <w:t>Circular Economy and Chemicals. Creating a clean and sustainable circle</w:t>
      </w:r>
      <w:r w:rsidR="00633CC3">
        <w:rPr>
          <w:lang w:val="en-US"/>
        </w:rPr>
        <w:t xml:space="preserve">, August 2015, </w:t>
      </w:r>
      <w:hyperlink r:id="rId12" w:history="1">
        <w:r w:rsidR="00633CC3" w:rsidRPr="00A36120">
          <w:rPr>
            <w:rStyle w:val="Hyperlink"/>
            <w:lang w:val="en-US"/>
          </w:rPr>
          <w:t>http://www.chemtrust.org.uk/wp-content/uploads/chemtrust-circulareconomy-aug2015.pdf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98" w:rsidRDefault="002E1698">
    <w:pPr>
      <w:pStyle w:val="Header"/>
    </w:pPr>
    <w:r>
      <w:rPr>
        <w:noProof/>
        <w:lang w:eastAsia="en-GB"/>
      </w:rPr>
      <w:drawing>
        <wp:inline distT="0" distB="0" distL="0" distR="0" wp14:anchorId="6751B775" wp14:editId="44F7F026">
          <wp:extent cx="962025" cy="638175"/>
          <wp:effectExtent l="0" t="0" r="9525" b="952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inline>
      </w:drawing>
    </w:r>
    <w:r>
      <w:tab/>
    </w:r>
    <w:r>
      <w:tab/>
    </w:r>
    <w:r>
      <w:rPr>
        <w:noProof/>
        <w:lang w:eastAsia="en-GB"/>
      </w:rPr>
      <w:drawing>
        <wp:inline distT="0" distB="0" distL="0" distR="0" wp14:anchorId="0B001EAE" wp14:editId="6E403F4C">
          <wp:extent cx="1304925" cy="5791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79120"/>
                  </a:xfrm>
                  <a:prstGeom prst="rect">
                    <a:avLst/>
                  </a:prstGeom>
                  <a:noFill/>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13"/>
      <w:gridCol w:w="4557"/>
    </w:tblGrid>
    <w:tr w:rsidR="002E1698" w:rsidRPr="002E1698" w:rsidTr="00702A67">
      <w:tc>
        <w:tcPr>
          <w:tcW w:w="4621" w:type="dxa"/>
          <w:shd w:val="clear" w:color="auto" w:fill="auto"/>
        </w:tcPr>
        <w:p w:rsidR="002E1698" w:rsidRPr="002E1698" w:rsidRDefault="002E1698" w:rsidP="002E1698">
          <w:pPr>
            <w:jc w:val="center"/>
            <w:rPr>
              <w:rFonts w:eastAsia="Cambria"/>
              <w:szCs w:val="24"/>
              <w:lang w:eastAsia="fr-FR"/>
            </w:rPr>
          </w:pPr>
          <w:r w:rsidRPr="002E1698">
            <w:rPr>
              <w:rFonts w:eastAsia="Cambria"/>
              <w:szCs w:val="24"/>
              <w:lang w:eastAsia="fr-FR"/>
            </w:rPr>
            <w:t xml:space="preserve">  </w:t>
          </w:r>
          <w:r w:rsidRPr="002E1698">
            <w:rPr>
              <w:rFonts w:eastAsia="Cambria"/>
              <w:noProof/>
              <w:szCs w:val="24"/>
              <w:lang w:eastAsia="en-GB"/>
            </w:rPr>
            <w:drawing>
              <wp:inline distT="0" distB="0" distL="0" distR="0" wp14:anchorId="513D2A64" wp14:editId="32902CA0">
                <wp:extent cx="1728784" cy="1152000"/>
                <wp:effectExtent l="0" t="0" r="5080" b="0"/>
                <wp:docPr id="2" name="Picture 2" descr="T:\Logo\Logos\ANEC\QUAD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Logos\ANEC\QUADRI.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784" cy="1152000"/>
                        </a:xfrm>
                        <a:prstGeom prst="rect">
                          <a:avLst/>
                        </a:prstGeom>
                        <a:noFill/>
                        <a:ln>
                          <a:noFill/>
                        </a:ln>
                      </pic:spPr>
                    </pic:pic>
                  </a:graphicData>
                </a:graphic>
              </wp:inline>
            </w:drawing>
          </w:r>
        </w:p>
      </w:tc>
      <w:tc>
        <w:tcPr>
          <w:tcW w:w="4621" w:type="dxa"/>
          <w:shd w:val="clear" w:color="auto" w:fill="auto"/>
        </w:tcPr>
        <w:p w:rsidR="002E1698" w:rsidRPr="002E1698" w:rsidRDefault="002E1698" w:rsidP="002E1698">
          <w:pPr>
            <w:jc w:val="center"/>
            <w:rPr>
              <w:rFonts w:eastAsia="Cambria"/>
              <w:szCs w:val="24"/>
              <w:lang w:eastAsia="fr-FR"/>
            </w:rPr>
          </w:pPr>
          <w:r w:rsidRPr="002E1698">
            <w:rPr>
              <w:rFonts w:eastAsia="Cambria"/>
              <w:noProof/>
              <w:szCs w:val="24"/>
              <w:lang w:eastAsia="en-GB"/>
            </w:rPr>
            <w:drawing>
              <wp:inline distT="0" distB="0" distL="0" distR="0" wp14:anchorId="600CB7FC" wp14:editId="62FB31C9">
                <wp:extent cx="2162175" cy="981075"/>
                <wp:effectExtent l="0" t="0" r="9525" b="9525"/>
                <wp:docPr id="3" name="Picture 3" descr="Description: BEUC_LOG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BEUC_LOGO_CMYK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tc>
    </w:tr>
    <w:tr w:rsidR="002E1698" w:rsidRPr="002E1698" w:rsidTr="00702A67">
      <w:tc>
        <w:tcPr>
          <w:tcW w:w="4621" w:type="dxa"/>
          <w:shd w:val="clear" w:color="auto" w:fill="auto"/>
        </w:tcPr>
        <w:p w:rsidR="002E1698" w:rsidRPr="002E1698" w:rsidRDefault="002E1698" w:rsidP="002E1698">
          <w:pPr>
            <w:jc w:val="center"/>
            <w:rPr>
              <w:rFonts w:eastAsia="Cambria"/>
              <w:b/>
              <w:bCs/>
              <w:i/>
              <w:iCs/>
              <w:color w:val="FF0000"/>
              <w:szCs w:val="24"/>
              <w:lang w:eastAsia="fr-FR"/>
            </w:rPr>
          </w:pPr>
        </w:p>
        <w:p w:rsidR="002E1698" w:rsidRPr="002E1698" w:rsidRDefault="002E1698" w:rsidP="002E1698">
          <w:pPr>
            <w:jc w:val="center"/>
            <w:rPr>
              <w:rFonts w:eastAsia="Cambria"/>
              <w:szCs w:val="24"/>
              <w:lang w:eastAsia="fr-FR"/>
            </w:rPr>
          </w:pPr>
          <w:r w:rsidRPr="002E1698">
            <w:rPr>
              <w:rFonts w:eastAsia="Cambria"/>
              <w:b/>
              <w:bCs/>
              <w:i/>
              <w:iCs/>
              <w:color w:val="FF0000"/>
              <w:szCs w:val="24"/>
              <w:lang w:eastAsia="fr-FR"/>
            </w:rPr>
            <w:t>Raising standards for consumers</w:t>
          </w:r>
        </w:p>
      </w:tc>
      <w:tc>
        <w:tcPr>
          <w:tcW w:w="4621" w:type="dxa"/>
          <w:shd w:val="clear" w:color="auto" w:fill="auto"/>
        </w:tcPr>
        <w:p w:rsidR="002E1698" w:rsidRPr="002E1698" w:rsidRDefault="002E1698" w:rsidP="002E1698">
          <w:pPr>
            <w:jc w:val="center"/>
            <w:rPr>
              <w:rFonts w:eastAsia="Times New Roman"/>
              <w:b/>
              <w:color w:val="F38B23"/>
            </w:rPr>
          </w:pPr>
        </w:p>
        <w:p w:rsidR="002E1698" w:rsidRPr="002E1698" w:rsidRDefault="002E1698" w:rsidP="002E1698">
          <w:pPr>
            <w:jc w:val="center"/>
            <w:rPr>
              <w:rFonts w:eastAsia="Cambria"/>
              <w:szCs w:val="24"/>
              <w:lang w:eastAsia="fr-FR"/>
            </w:rPr>
          </w:pPr>
          <w:r w:rsidRPr="002E1698">
            <w:rPr>
              <w:rFonts w:eastAsia="Times New Roman"/>
              <w:b/>
              <w:color w:val="F38B23"/>
            </w:rPr>
            <w:t>The Consumer Voice in Europe</w:t>
          </w:r>
        </w:p>
      </w:tc>
    </w:tr>
  </w:tbl>
  <w:p w:rsidR="002E1698" w:rsidRDefault="002E1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341D3"/>
    <w:multiLevelType w:val="hybridMultilevel"/>
    <w:tmpl w:val="2044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2079"/>
    <w:multiLevelType w:val="hybridMultilevel"/>
    <w:tmpl w:val="DC2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28DA"/>
    <w:multiLevelType w:val="hybridMultilevel"/>
    <w:tmpl w:val="40F0C5D4"/>
    <w:lvl w:ilvl="0" w:tplc="94142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3319E"/>
    <w:multiLevelType w:val="hybridMultilevel"/>
    <w:tmpl w:val="8444B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14DA9"/>
    <w:multiLevelType w:val="hybridMultilevel"/>
    <w:tmpl w:val="AC04913C"/>
    <w:lvl w:ilvl="0" w:tplc="5C44FD6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3E65"/>
    <w:multiLevelType w:val="hybridMultilevel"/>
    <w:tmpl w:val="F34E8042"/>
    <w:lvl w:ilvl="0" w:tplc="E0246F12">
      <w:start w:val="1"/>
      <w:numFmt w:val="bullet"/>
      <w:lvlText w:val="*"/>
      <w:lvlJc w:val="left"/>
      <w:pPr>
        <w:ind w:hanging="194"/>
      </w:pPr>
      <w:rPr>
        <w:rFonts w:ascii="Verdana" w:eastAsia="Verdana" w:hAnsi="Verdana" w:hint="default"/>
        <w:w w:val="102"/>
        <w:sz w:val="20"/>
        <w:szCs w:val="20"/>
      </w:rPr>
    </w:lvl>
    <w:lvl w:ilvl="1" w:tplc="6448AD2C">
      <w:start w:val="1"/>
      <w:numFmt w:val="bullet"/>
      <w:lvlText w:val="•"/>
      <w:lvlJc w:val="left"/>
      <w:rPr>
        <w:rFonts w:hint="default"/>
      </w:rPr>
    </w:lvl>
    <w:lvl w:ilvl="2" w:tplc="F2A64BFE">
      <w:start w:val="1"/>
      <w:numFmt w:val="bullet"/>
      <w:lvlText w:val="•"/>
      <w:lvlJc w:val="left"/>
      <w:rPr>
        <w:rFonts w:hint="default"/>
      </w:rPr>
    </w:lvl>
    <w:lvl w:ilvl="3" w:tplc="C57CD25C">
      <w:start w:val="1"/>
      <w:numFmt w:val="bullet"/>
      <w:lvlText w:val="•"/>
      <w:lvlJc w:val="left"/>
      <w:rPr>
        <w:rFonts w:hint="default"/>
      </w:rPr>
    </w:lvl>
    <w:lvl w:ilvl="4" w:tplc="9154CD08">
      <w:start w:val="1"/>
      <w:numFmt w:val="bullet"/>
      <w:lvlText w:val="•"/>
      <w:lvlJc w:val="left"/>
      <w:rPr>
        <w:rFonts w:hint="default"/>
      </w:rPr>
    </w:lvl>
    <w:lvl w:ilvl="5" w:tplc="4A9A6070">
      <w:start w:val="1"/>
      <w:numFmt w:val="bullet"/>
      <w:lvlText w:val="•"/>
      <w:lvlJc w:val="left"/>
      <w:rPr>
        <w:rFonts w:hint="default"/>
      </w:rPr>
    </w:lvl>
    <w:lvl w:ilvl="6" w:tplc="1CDA25A0">
      <w:start w:val="1"/>
      <w:numFmt w:val="bullet"/>
      <w:lvlText w:val="•"/>
      <w:lvlJc w:val="left"/>
      <w:rPr>
        <w:rFonts w:hint="default"/>
      </w:rPr>
    </w:lvl>
    <w:lvl w:ilvl="7" w:tplc="C840DDB8">
      <w:start w:val="1"/>
      <w:numFmt w:val="bullet"/>
      <w:lvlText w:val="•"/>
      <w:lvlJc w:val="left"/>
      <w:rPr>
        <w:rFonts w:hint="default"/>
      </w:rPr>
    </w:lvl>
    <w:lvl w:ilvl="8" w:tplc="7EC245B4">
      <w:start w:val="1"/>
      <w:numFmt w:val="bullet"/>
      <w:lvlText w:val="•"/>
      <w:lvlJc w:val="left"/>
      <w:rPr>
        <w:rFonts w:hint="default"/>
      </w:rPr>
    </w:lvl>
  </w:abstractNum>
  <w:abstractNum w:abstractNumId="7" w15:restartNumberingAfterBreak="0">
    <w:nsid w:val="181D4C4A"/>
    <w:multiLevelType w:val="hybridMultilevel"/>
    <w:tmpl w:val="E474B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BC465EE"/>
    <w:multiLevelType w:val="hybridMultilevel"/>
    <w:tmpl w:val="36386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65A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4122E3"/>
    <w:multiLevelType w:val="hybridMultilevel"/>
    <w:tmpl w:val="4F62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F1F83"/>
    <w:multiLevelType w:val="hybridMultilevel"/>
    <w:tmpl w:val="4BD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96AD7"/>
    <w:multiLevelType w:val="hybridMultilevel"/>
    <w:tmpl w:val="258CB4F4"/>
    <w:lvl w:ilvl="0" w:tplc="4BA67D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07FF7"/>
    <w:multiLevelType w:val="hybridMultilevel"/>
    <w:tmpl w:val="EC6C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737B5"/>
    <w:multiLevelType w:val="hybridMultilevel"/>
    <w:tmpl w:val="C7F45AE8"/>
    <w:lvl w:ilvl="0" w:tplc="1FBA8048">
      <w:start w:val="5"/>
      <w:numFmt w:val="bullet"/>
      <w:lvlText w:val="-"/>
      <w:lvlJc w:val="left"/>
      <w:pPr>
        <w:ind w:left="1080" w:hanging="360"/>
      </w:pPr>
      <w:rPr>
        <w:rFonts w:ascii="Verdana" w:eastAsia="Calibri" w:hAnsi="Verdana" w:cs="Mang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0074C"/>
    <w:multiLevelType w:val="hybridMultilevel"/>
    <w:tmpl w:val="C6F05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D7554"/>
    <w:multiLevelType w:val="hybridMultilevel"/>
    <w:tmpl w:val="90E0838E"/>
    <w:lvl w:ilvl="0" w:tplc="4E4055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75C3"/>
    <w:multiLevelType w:val="hybridMultilevel"/>
    <w:tmpl w:val="469ADC46"/>
    <w:lvl w:ilvl="0" w:tplc="F7C01698">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606BDC"/>
    <w:multiLevelType w:val="hybridMultilevel"/>
    <w:tmpl w:val="4B7C5A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A55C0"/>
    <w:multiLevelType w:val="hybridMultilevel"/>
    <w:tmpl w:val="E56AA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F713B"/>
    <w:multiLevelType w:val="hybridMultilevel"/>
    <w:tmpl w:val="F99A1A74"/>
    <w:lvl w:ilvl="0" w:tplc="4BA67DDC">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550D209F"/>
    <w:multiLevelType w:val="multilevel"/>
    <w:tmpl w:val="3CB69D8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2" w15:restartNumberingAfterBreak="0">
    <w:nsid w:val="558E6217"/>
    <w:multiLevelType w:val="hybridMultilevel"/>
    <w:tmpl w:val="EBEA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82934"/>
    <w:multiLevelType w:val="multilevel"/>
    <w:tmpl w:val="CB482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0A023CB"/>
    <w:multiLevelType w:val="multilevel"/>
    <w:tmpl w:val="D5B41194"/>
    <w:lvl w:ilvl="0">
      <w:start w:val="1"/>
      <w:numFmt w:val="decimal"/>
      <w:lvlText w:val="%1"/>
      <w:lvlJc w:val="left"/>
      <w:pPr>
        <w:ind w:left="0" w:firstLine="0"/>
      </w:pPr>
    </w:lvl>
    <w:lvl w:ilvl="1">
      <w:start w:val="1"/>
      <w:numFmt w:val="decimal"/>
      <w:lvlText w:val="%1.%2"/>
      <w:lvlJc w:val="left"/>
      <w:pPr>
        <w:ind w:left="144" w:firstLine="0"/>
      </w:pPr>
    </w:lvl>
    <w:lvl w:ilvl="2">
      <w:start w:val="1"/>
      <w:numFmt w:val="decimal"/>
      <w:lvlText w:val="%1.%2.%3"/>
      <w:lvlJc w:val="left"/>
      <w:pPr>
        <w:ind w:left="1985" w:firstLine="0"/>
      </w:pPr>
    </w:lvl>
    <w:lvl w:ilvl="3">
      <w:start w:val="1"/>
      <w:numFmt w:val="decimal"/>
      <w:lvlText w:val="%1.%2.%3.%4"/>
      <w:lvlJc w:val="left"/>
      <w:pPr>
        <w:ind w:left="432" w:firstLine="0"/>
      </w:pPr>
    </w:lvl>
    <w:lvl w:ilvl="4">
      <w:start w:val="1"/>
      <w:numFmt w:val="decimal"/>
      <w:lvlText w:val="%1.%2.%3.%4.%5"/>
      <w:lvlJc w:val="left"/>
      <w:pPr>
        <w:ind w:left="576" w:firstLine="0"/>
      </w:pPr>
    </w:lvl>
    <w:lvl w:ilvl="5">
      <w:start w:val="1"/>
      <w:numFmt w:val="decimal"/>
      <w:lvlText w:val="%1.%2.%3.%4.%5.%6"/>
      <w:lvlJc w:val="left"/>
      <w:pPr>
        <w:ind w:left="720" w:firstLine="0"/>
      </w:pPr>
    </w:lvl>
    <w:lvl w:ilvl="6">
      <w:start w:val="1"/>
      <w:numFmt w:val="decimal"/>
      <w:lvlText w:val="%1.%2.%3.%4.%5.%6.%7"/>
      <w:lvlJc w:val="left"/>
      <w:pPr>
        <w:ind w:left="864" w:firstLine="0"/>
      </w:pPr>
    </w:lvl>
    <w:lvl w:ilvl="7">
      <w:start w:val="1"/>
      <w:numFmt w:val="decimal"/>
      <w:lvlText w:val="%1.%2.%3.%4.%5.%6.%7.%8"/>
      <w:lvlJc w:val="left"/>
      <w:pPr>
        <w:ind w:left="1008" w:firstLine="0"/>
      </w:pPr>
    </w:lvl>
    <w:lvl w:ilvl="8">
      <w:start w:val="1"/>
      <w:numFmt w:val="decimal"/>
      <w:lvlText w:val="%1.%2.%3.%4.%5.%6.%7.%8.%9"/>
      <w:lvlJc w:val="left"/>
      <w:pPr>
        <w:ind w:left="1152" w:firstLine="0"/>
      </w:pPr>
    </w:lvl>
  </w:abstractNum>
  <w:abstractNum w:abstractNumId="25" w15:restartNumberingAfterBreak="0">
    <w:nsid w:val="631B48AC"/>
    <w:multiLevelType w:val="hybridMultilevel"/>
    <w:tmpl w:val="892A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F05C73"/>
    <w:multiLevelType w:val="hybridMultilevel"/>
    <w:tmpl w:val="FA264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90314"/>
    <w:multiLevelType w:val="multilevel"/>
    <w:tmpl w:val="E5F8E518"/>
    <w:lvl w:ilvl="0">
      <w:start w:val="1"/>
      <w:numFmt w:val="decimal"/>
      <w:pStyle w:val="Heading1"/>
      <w:suff w:val="space"/>
      <w:lvlText w:val="%1."/>
      <w:lvlJc w:val="left"/>
      <w:pPr>
        <w:ind w:left="0" w:firstLine="0"/>
      </w:pPr>
      <w:rPr>
        <w:rFonts w:ascii="Verdana" w:hAnsi="Verdana" w:hint="default"/>
        <w:b/>
        <w:i w:val="0"/>
        <w:color w:val="95A316"/>
        <w:sz w:val="22"/>
        <w:u w:val="none"/>
      </w:rPr>
    </w:lvl>
    <w:lvl w:ilvl="1">
      <w:start w:val="1"/>
      <w:numFmt w:val="decimal"/>
      <w:pStyle w:val="Heading2"/>
      <w:suff w:val="space"/>
      <w:lvlText w:val="%1.%2."/>
      <w:lvlJc w:val="left"/>
      <w:pPr>
        <w:ind w:left="0" w:firstLine="0"/>
      </w:pPr>
      <w:rPr>
        <w:rFonts w:ascii="Verdana" w:hAnsi="Verdana" w:hint="default"/>
        <w:b/>
        <w:i w:val="0"/>
        <w:color w:val="95A316"/>
        <w:sz w:val="20"/>
        <w:u w:val="none"/>
      </w:rPr>
    </w:lvl>
    <w:lvl w:ilvl="2">
      <w:start w:val="1"/>
      <w:numFmt w:val="decimal"/>
      <w:pStyle w:val="Heading3"/>
      <w:suff w:val="space"/>
      <w:lvlText w:val="%1.%2.%3."/>
      <w:lvlJc w:val="left"/>
      <w:pPr>
        <w:ind w:left="0" w:firstLine="0"/>
      </w:pPr>
      <w:rPr>
        <w:rFonts w:ascii="Verdana" w:hAnsi="Verdana" w:hint="default"/>
        <w:b/>
        <w:i w:val="0"/>
        <w:color w:val="95A316"/>
        <w:sz w:val="20"/>
        <w:u w:val="none"/>
      </w:rPr>
    </w:lvl>
    <w:lvl w:ilvl="3">
      <w:start w:val="1"/>
      <w:numFmt w:val="decimal"/>
      <w:pStyle w:val="Heading4"/>
      <w:suff w:val="space"/>
      <w:lvlText w:val="%1.%2.%3.%4."/>
      <w:lvlJc w:val="left"/>
      <w:pPr>
        <w:ind w:left="0" w:firstLine="0"/>
      </w:pPr>
      <w:rPr>
        <w:rFonts w:ascii="Verdana" w:hAnsi="Verdana"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23873"/>
    <w:multiLevelType w:val="hybridMultilevel"/>
    <w:tmpl w:val="8148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03A1E"/>
    <w:multiLevelType w:val="hybridMultilevel"/>
    <w:tmpl w:val="7BDAE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93CA2"/>
    <w:multiLevelType w:val="hybridMultilevel"/>
    <w:tmpl w:val="8BA26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19"/>
  </w:num>
  <w:num w:numId="5">
    <w:abstractNumId w:val="23"/>
  </w:num>
  <w:num w:numId="6">
    <w:abstractNumId w:val="24"/>
  </w:num>
  <w:num w:numId="7">
    <w:abstractNumId w:val="21"/>
  </w:num>
  <w:num w:numId="8">
    <w:abstractNumId w:val="27"/>
  </w:num>
  <w:num w:numId="9">
    <w:abstractNumId w:val="17"/>
  </w:num>
  <w:num w:numId="10">
    <w:abstractNumId w:val="16"/>
  </w:num>
  <w:num w:numId="11">
    <w:abstractNumId w:val="0"/>
  </w:num>
  <w:num w:numId="12">
    <w:abstractNumId w:val="11"/>
  </w:num>
  <w:num w:numId="13">
    <w:abstractNumId w:val="13"/>
  </w:num>
  <w:num w:numId="14">
    <w:abstractNumId w:val="2"/>
  </w:num>
  <w:num w:numId="15">
    <w:abstractNumId w:val="30"/>
  </w:num>
  <w:num w:numId="16">
    <w:abstractNumId w:val="15"/>
  </w:num>
  <w:num w:numId="17">
    <w:abstractNumId w:val="5"/>
  </w:num>
  <w:num w:numId="18">
    <w:abstractNumId w:val="10"/>
  </w:num>
  <w:num w:numId="19">
    <w:abstractNumId w:val="4"/>
  </w:num>
  <w:num w:numId="20">
    <w:abstractNumId w:val="26"/>
  </w:num>
  <w:num w:numId="21">
    <w:abstractNumId w:val="18"/>
  </w:num>
  <w:num w:numId="22">
    <w:abstractNumId w:val="25"/>
  </w:num>
  <w:num w:numId="23">
    <w:abstractNumId w:val="9"/>
  </w:num>
  <w:num w:numId="24">
    <w:abstractNumId w:val="12"/>
  </w:num>
  <w:num w:numId="25">
    <w:abstractNumId w:val="20"/>
  </w:num>
  <w:num w:numId="26">
    <w:abstractNumId w:val="29"/>
  </w:num>
  <w:num w:numId="27">
    <w:abstractNumId w:val="6"/>
  </w:num>
  <w:num w:numId="28">
    <w:abstractNumId w:val="28"/>
  </w:num>
  <w:num w:numId="29">
    <w:abstractNumId w:val="1"/>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DB"/>
    <w:rsid w:val="000000F4"/>
    <w:rsid w:val="000017E2"/>
    <w:rsid w:val="000033C3"/>
    <w:rsid w:val="000072F5"/>
    <w:rsid w:val="00015AE0"/>
    <w:rsid w:val="00021377"/>
    <w:rsid w:val="00036294"/>
    <w:rsid w:val="00040A34"/>
    <w:rsid w:val="00046EC8"/>
    <w:rsid w:val="00052A0B"/>
    <w:rsid w:val="000679E8"/>
    <w:rsid w:val="00067F34"/>
    <w:rsid w:val="00070D09"/>
    <w:rsid w:val="000715E6"/>
    <w:rsid w:val="00073070"/>
    <w:rsid w:val="00075857"/>
    <w:rsid w:val="00081422"/>
    <w:rsid w:val="00085BC2"/>
    <w:rsid w:val="000B0D41"/>
    <w:rsid w:val="000C3F51"/>
    <w:rsid w:val="000C48F4"/>
    <w:rsid w:val="000C6D92"/>
    <w:rsid w:val="000D28F8"/>
    <w:rsid w:val="000D5EA4"/>
    <w:rsid w:val="000E0657"/>
    <w:rsid w:val="000F7C97"/>
    <w:rsid w:val="001058C3"/>
    <w:rsid w:val="00113CB7"/>
    <w:rsid w:val="0013663B"/>
    <w:rsid w:val="00141DA3"/>
    <w:rsid w:val="001454EC"/>
    <w:rsid w:val="00145558"/>
    <w:rsid w:val="00150D56"/>
    <w:rsid w:val="00154755"/>
    <w:rsid w:val="00155A57"/>
    <w:rsid w:val="0016626E"/>
    <w:rsid w:val="00167A60"/>
    <w:rsid w:val="001702E6"/>
    <w:rsid w:val="00181502"/>
    <w:rsid w:val="00181B09"/>
    <w:rsid w:val="001A29F4"/>
    <w:rsid w:val="001A2C6A"/>
    <w:rsid w:val="001A4115"/>
    <w:rsid w:val="001B008E"/>
    <w:rsid w:val="001B05D2"/>
    <w:rsid w:val="001C1727"/>
    <w:rsid w:val="001C17CA"/>
    <w:rsid w:val="001F7CDC"/>
    <w:rsid w:val="002006FE"/>
    <w:rsid w:val="0020242C"/>
    <w:rsid w:val="00240314"/>
    <w:rsid w:val="002407E7"/>
    <w:rsid w:val="00247CF5"/>
    <w:rsid w:val="00251F1F"/>
    <w:rsid w:val="00252D12"/>
    <w:rsid w:val="00260262"/>
    <w:rsid w:val="0026758D"/>
    <w:rsid w:val="00280BBF"/>
    <w:rsid w:val="002A23B8"/>
    <w:rsid w:val="002A35E7"/>
    <w:rsid w:val="002B28DE"/>
    <w:rsid w:val="002B3BE7"/>
    <w:rsid w:val="002B6352"/>
    <w:rsid w:val="002C20AC"/>
    <w:rsid w:val="002D7814"/>
    <w:rsid w:val="002E0DDF"/>
    <w:rsid w:val="002E1698"/>
    <w:rsid w:val="002E1CB4"/>
    <w:rsid w:val="003004AB"/>
    <w:rsid w:val="0030053B"/>
    <w:rsid w:val="00302CD0"/>
    <w:rsid w:val="003067DB"/>
    <w:rsid w:val="00310143"/>
    <w:rsid w:val="003139DB"/>
    <w:rsid w:val="0031473E"/>
    <w:rsid w:val="003271F1"/>
    <w:rsid w:val="00327976"/>
    <w:rsid w:val="003322E6"/>
    <w:rsid w:val="0034617F"/>
    <w:rsid w:val="003652EE"/>
    <w:rsid w:val="00371895"/>
    <w:rsid w:val="00371C8F"/>
    <w:rsid w:val="003736FA"/>
    <w:rsid w:val="003769EC"/>
    <w:rsid w:val="00383FD6"/>
    <w:rsid w:val="00385212"/>
    <w:rsid w:val="0038667A"/>
    <w:rsid w:val="00391CD4"/>
    <w:rsid w:val="00393CB5"/>
    <w:rsid w:val="00396188"/>
    <w:rsid w:val="003A47C3"/>
    <w:rsid w:val="003C100C"/>
    <w:rsid w:val="003C5F57"/>
    <w:rsid w:val="003C771B"/>
    <w:rsid w:val="003F1C74"/>
    <w:rsid w:val="003F2761"/>
    <w:rsid w:val="00400A75"/>
    <w:rsid w:val="00401AE3"/>
    <w:rsid w:val="004063E0"/>
    <w:rsid w:val="00407167"/>
    <w:rsid w:val="004138DA"/>
    <w:rsid w:val="004160C4"/>
    <w:rsid w:val="004215FD"/>
    <w:rsid w:val="004501ED"/>
    <w:rsid w:val="00451390"/>
    <w:rsid w:val="004549D2"/>
    <w:rsid w:val="00462A8A"/>
    <w:rsid w:val="00463426"/>
    <w:rsid w:val="00463444"/>
    <w:rsid w:val="00470533"/>
    <w:rsid w:val="00471F9A"/>
    <w:rsid w:val="00482C84"/>
    <w:rsid w:val="004901F1"/>
    <w:rsid w:val="004911A4"/>
    <w:rsid w:val="00497350"/>
    <w:rsid w:val="004B0B23"/>
    <w:rsid w:val="004C17F1"/>
    <w:rsid w:val="004C248F"/>
    <w:rsid w:val="004D37C3"/>
    <w:rsid w:val="004F0F71"/>
    <w:rsid w:val="005015C5"/>
    <w:rsid w:val="0051777F"/>
    <w:rsid w:val="005244B3"/>
    <w:rsid w:val="00526E39"/>
    <w:rsid w:val="00530933"/>
    <w:rsid w:val="00541150"/>
    <w:rsid w:val="00546CE8"/>
    <w:rsid w:val="00554473"/>
    <w:rsid w:val="005544E1"/>
    <w:rsid w:val="0055724E"/>
    <w:rsid w:val="00577B6F"/>
    <w:rsid w:val="005803DD"/>
    <w:rsid w:val="00592C57"/>
    <w:rsid w:val="00594E2E"/>
    <w:rsid w:val="005A0D99"/>
    <w:rsid w:val="005A34BC"/>
    <w:rsid w:val="005A5948"/>
    <w:rsid w:val="005A7266"/>
    <w:rsid w:val="005B0761"/>
    <w:rsid w:val="005B3584"/>
    <w:rsid w:val="005B55F5"/>
    <w:rsid w:val="005B6C4A"/>
    <w:rsid w:val="005C3DCB"/>
    <w:rsid w:val="005C6916"/>
    <w:rsid w:val="005C6C40"/>
    <w:rsid w:val="005D05DC"/>
    <w:rsid w:val="005D7BB4"/>
    <w:rsid w:val="005E065E"/>
    <w:rsid w:val="006044E5"/>
    <w:rsid w:val="006053EB"/>
    <w:rsid w:val="00633CC3"/>
    <w:rsid w:val="0063417B"/>
    <w:rsid w:val="0064154E"/>
    <w:rsid w:val="0065226E"/>
    <w:rsid w:val="006A47AF"/>
    <w:rsid w:val="006C1371"/>
    <w:rsid w:val="006C31FB"/>
    <w:rsid w:val="006D09D8"/>
    <w:rsid w:val="006D1F77"/>
    <w:rsid w:val="006F1E98"/>
    <w:rsid w:val="006F3C70"/>
    <w:rsid w:val="006F47A0"/>
    <w:rsid w:val="006F7651"/>
    <w:rsid w:val="00730944"/>
    <w:rsid w:val="00737E2E"/>
    <w:rsid w:val="00740A4C"/>
    <w:rsid w:val="007417D0"/>
    <w:rsid w:val="00743C7E"/>
    <w:rsid w:val="007454D3"/>
    <w:rsid w:val="007555DE"/>
    <w:rsid w:val="00760216"/>
    <w:rsid w:val="0077394F"/>
    <w:rsid w:val="00781450"/>
    <w:rsid w:val="00782FB6"/>
    <w:rsid w:val="007834F9"/>
    <w:rsid w:val="007959D5"/>
    <w:rsid w:val="007A02CD"/>
    <w:rsid w:val="007A2EDB"/>
    <w:rsid w:val="007A473A"/>
    <w:rsid w:val="007B2C25"/>
    <w:rsid w:val="007D0BF9"/>
    <w:rsid w:val="007E2228"/>
    <w:rsid w:val="0080091F"/>
    <w:rsid w:val="00805547"/>
    <w:rsid w:val="00811409"/>
    <w:rsid w:val="00817BD2"/>
    <w:rsid w:val="00827A53"/>
    <w:rsid w:val="00830418"/>
    <w:rsid w:val="008369E3"/>
    <w:rsid w:val="00836BEC"/>
    <w:rsid w:val="00845F95"/>
    <w:rsid w:val="00847EED"/>
    <w:rsid w:val="00861A61"/>
    <w:rsid w:val="00871BDE"/>
    <w:rsid w:val="00881B70"/>
    <w:rsid w:val="00887575"/>
    <w:rsid w:val="00894BDD"/>
    <w:rsid w:val="00896C8D"/>
    <w:rsid w:val="008A2739"/>
    <w:rsid w:val="008A38FE"/>
    <w:rsid w:val="008A63B2"/>
    <w:rsid w:val="008A7C00"/>
    <w:rsid w:val="008B595B"/>
    <w:rsid w:val="008C27A9"/>
    <w:rsid w:val="008E3B15"/>
    <w:rsid w:val="008E79B7"/>
    <w:rsid w:val="008F29EA"/>
    <w:rsid w:val="008F2DED"/>
    <w:rsid w:val="00901BEB"/>
    <w:rsid w:val="009210CE"/>
    <w:rsid w:val="00924FA5"/>
    <w:rsid w:val="00935759"/>
    <w:rsid w:val="0094260F"/>
    <w:rsid w:val="00946207"/>
    <w:rsid w:val="00946644"/>
    <w:rsid w:val="00954867"/>
    <w:rsid w:val="009841F2"/>
    <w:rsid w:val="00986476"/>
    <w:rsid w:val="009A23AA"/>
    <w:rsid w:val="009A51E6"/>
    <w:rsid w:val="009B31CC"/>
    <w:rsid w:val="009B429D"/>
    <w:rsid w:val="009B6B6B"/>
    <w:rsid w:val="009C124F"/>
    <w:rsid w:val="009C1F5A"/>
    <w:rsid w:val="009C2141"/>
    <w:rsid w:val="009E3CD9"/>
    <w:rsid w:val="009E5A68"/>
    <w:rsid w:val="009F6E39"/>
    <w:rsid w:val="00A06FAA"/>
    <w:rsid w:val="00A16B06"/>
    <w:rsid w:val="00A248D4"/>
    <w:rsid w:val="00A35394"/>
    <w:rsid w:val="00A36CBA"/>
    <w:rsid w:val="00A37EBA"/>
    <w:rsid w:val="00A4266E"/>
    <w:rsid w:val="00A456D2"/>
    <w:rsid w:val="00A47DC8"/>
    <w:rsid w:val="00A50AAD"/>
    <w:rsid w:val="00A5393A"/>
    <w:rsid w:val="00A54260"/>
    <w:rsid w:val="00A62114"/>
    <w:rsid w:val="00A65D75"/>
    <w:rsid w:val="00A66DD3"/>
    <w:rsid w:val="00A77864"/>
    <w:rsid w:val="00A92AE4"/>
    <w:rsid w:val="00A966A7"/>
    <w:rsid w:val="00AA1D30"/>
    <w:rsid w:val="00AB74FA"/>
    <w:rsid w:val="00AC3C84"/>
    <w:rsid w:val="00AD589E"/>
    <w:rsid w:val="00B005A3"/>
    <w:rsid w:val="00B071E6"/>
    <w:rsid w:val="00B12038"/>
    <w:rsid w:val="00B21FC9"/>
    <w:rsid w:val="00B237EF"/>
    <w:rsid w:val="00B24092"/>
    <w:rsid w:val="00B25B1C"/>
    <w:rsid w:val="00B26263"/>
    <w:rsid w:val="00B55A8A"/>
    <w:rsid w:val="00B70402"/>
    <w:rsid w:val="00B72E99"/>
    <w:rsid w:val="00B7665C"/>
    <w:rsid w:val="00B76FD7"/>
    <w:rsid w:val="00B77B34"/>
    <w:rsid w:val="00B80FFC"/>
    <w:rsid w:val="00B83A61"/>
    <w:rsid w:val="00B92CA2"/>
    <w:rsid w:val="00B96276"/>
    <w:rsid w:val="00BA08B1"/>
    <w:rsid w:val="00BA3EE1"/>
    <w:rsid w:val="00BA777F"/>
    <w:rsid w:val="00BC48FB"/>
    <w:rsid w:val="00BC4E84"/>
    <w:rsid w:val="00BD21D1"/>
    <w:rsid w:val="00BE1DCA"/>
    <w:rsid w:val="00BE4849"/>
    <w:rsid w:val="00C03FCD"/>
    <w:rsid w:val="00C07E88"/>
    <w:rsid w:val="00C12BC4"/>
    <w:rsid w:val="00C25F7C"/>
    <w:rsid w:val="00C270CE"/>
    <w:rsid w:val="00C31AB5"/>
    <w:rsid w:val="00C37FDE"/>
    <w:rsid w:val="00C408D5"/>
    <w:rsid w:val="00C53234"/>
    <w:rsid w:val="00C61ACB"/>
    <w:rsid w:val="00C63E43"/>
    <w:rsid w:val="00C65312"/>
    <w:rsid w:val="00C82757"/>
    <w:rsid w:val="00C84FBF"/>
    <w:rsid w:val="00CB017F"/>
    <w:rsid w:val="00CC1F6E"/>
    <w:rsid w:val="00CC5787"/>
    <w:rsid w:val="00CD1245"/>
    <w:rsid w:val="00CD3E44"/>
    <w:rsid w:val="00CD5AD8"/>
    <w:rsid w:val="00CD5C5A"/>
    <w:rsid w:val="00CE42A9"/>
    <w:rsid w:val="00CE47BD"/>
    <w:rsid w:val="00CF4BA9"/>
    <w:rsid w:val="00D0670F"/>
    <w:rsid w:val="00D06C1B"/>
    <w:rsid w:val="00D210C7"/>
    <w:rsid w:val="00D221F3"/>
    <w:rsid w:val="00D2439C"/>
    <w:rsid w:val="00D26316"/>
    <w:rsid w:val="00D32DB4"/>
    <w:rsid w:val="00D40279"/>
    <w:rsid w:val="00D45B7E"/>
    <w:rsid w:val="00D52120"/>
    <w:rsid w:val="00D52B2C"/>
    <w:rsid w:val="00D61C91"/>
    <w:rsid w:val="00D723C6"/>
    <w:rsid w:val="00D738BC"/>
    <w:rsid w:val="00D773BC"/>
    <w:rsid w:val="00D90597"/>
    <w:rsid w:val="00D93461"/>
    <w:rsid w:val="00DB3592"/>
    <w:rsid w:val="00DB399B"/>
    <w:rsid w:val="00DB540F"/>
    <w:rsid w:val="00DB6294"/>
    <w:rsid w:val="00DC2852"/>
    <w:rsid w:val="00DD3A4D"/>
    <w:rsid w:val="00DD6BF4"/>
    <w:rsid w:val="00DD73EA"/>
    <w:rsid w:val="00DE4430"/>
    <w:rsid w:val="00DE6D71"/>
    <w:rsid w:val="00DE7154"/>
    <w:rsid w:val="00E0487D"/>
    <w:rsid w:val="00E04F9B"/>
    <w:rsid w:val="00E06944"/>
    <w:rsid w:val="00E21F7E"/>
    <w:rsid w:val="00E3716E"/>
    <w:rsid w:val="00E429CE"/>
    <w:rsid w:val="00E47792"/>
    <w:rsid w:val="00E50074"/>
    <w:rsid w:val="00E51F26"/>
    <w:rsid w:val="00E67349"/>
    <w:rsid w:val="00E915F1"/>
    <w:rsid w:val="00E967FC"/>
    <w:rsid w:val="00EA0F66"/>
    <w:rsid w:val="00EA218C"/>
    <w:rsid w:val="00EA3C68"/>
    <w:rsid w:val="00EB6730"/>
    <w:rsid w:val="00EB737F"/>
    <w:rsid w:val="00EC7E27"/>
    <w:rsid w:val="00ED4942"/>
    <w:rsid w:val="00EE5818"/>
    <w:rsid w:val="00EF4A3F"/>
    <w:rsid w:val="00EF5783"/>
    <w:rsid w:val="00EF5A09"/>
    <w:rsid w:val="00F14DBE"/>
    <w:rsid w:val="00F216B9"/>
    <w:rsid w:val="00F32A0F"/>
    <w:rsid w:val="00F66C04"/>
    <w:rsid w:val="00F6798E"/>
    <w:rsid w:val="00F7035B"/>
    <w:rsid w:val="00F7795B"/>
    <w:rsid w:val="00F80D87"/>
    <w:rsid w:val="00F8129F"/>
    <w:rsid w:val="00F8600B"/>
    <w:rsid w:val="00F91172"/>
    <w:rsid w:val="00FA0576"/>
    <w:rsid w:val="00FA70DF"/>
    <w:rsid w:val="00FB24B7"/>
    <w:rsid w:val="00FB6905"/>
    <w:rsid w:val="00FC2C4C"/>
    <w:rsid w:val="00FD0E8D"/>
    <w:rsid w:val="00FE7537"/>
    <w:rsid w:val="00FF09B6"/>
    <w:rsid w:val="00FF7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AD894-2B01-4241-AC4F-CC00270E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F"/>
    <w:pPr>
      <w:ind w:left="0" w:firstLine="0"/>
    </w:pPr>
  </w:style>
  <w:style w:type="paragraph" w:styleId="Heading1">
    <w:name w:val="heading 1"/>
    <w:basedOn w:val="Normal"/>
    <w:next w:val="Normal"/>
    <w:link w:val="Heading1Char"/>
    <w:qFormat/>
    <w:rsid w:val="00AC3C84"/>
    <w:pPr>
      <w:keepNext/>
      <w:keepLines/>
      <w:numPr>
        <w:numId w:val="8"/>
      </w:numPr>
      <w:pBdr>
        <w:bottom w:val="single" w:sz="12" w:space="10" w:color="50B2D6"/>
      </w:pBdr>
      <w:spacing w:before="240" w:after="280"/>
      <w:ind w:left="284" w:hanging="284"/>
      <w:outlineLvl w:val="0"/>
    </w:pPr>
    <w:rPr>
      <w:rFonts w:eastAsiaTheme="majorEastAsia" w:cstheme="majorBidi"/>
      <w:b/>
      <w:bCs/>
      <w:color w:val="95A316"/>
      <w:sz w:val="22"/>
      <w:szCs w:val="28"/>
    </w:rPr>
  </w:style>
  <w:style w:type="paragraph" w:styleId="Heading2">
    <w:name w:val="heading 2"/>
    <w:basedOn w:val="Normal"/>
    <w:next w:val="Normal"/>
    <w:link w:val="Heading2Char"/>
    <w:qFormat/>
    <w:rsid w:val="00B24092"/>
    <w:pPr>
      <w:keepNext/>
      <w:keepLines/>
      <w:numPr>
        <w:ilvl w:val="1"/>
        <w:numId w:val="8"/>
      </w:numPr>
      <w:spacing w:before="200" w:after="200"/>
      <w:ind w:left="482" w:hanging="482"/>
      <w:outlineLvl w:val="1"/>
    </w:pPr>
    <w:rPr>
      <w:rFonts w:eastAsiaTheme="majorEastAsia" w:cstheme="majorBidi"/>
      <w:b/>
      <w:bCs/>
      <w:noProof/>
      <w:color w:val="95A316"/>
      <w:szCs w:val="26"/>
    </w:rPr>
  </w:style>
  <w:style w:type="paragraph" w:styleId="Heading3">
    <w:name w:val="heading 3"/>
    <w:basedOn w:val="Normal"/>
    <w:next w:val="Normal"/>
    <w:link w:val="Heading3Char"/>
    <w:qFormat/>
    <w:rsid w:val="00B24092"/>
    <w:pPr>
      <w:keepNext/>
      <w:keepLines/>
      <w:numPr>
        <w:ilvl w:val="2"/>
        <w:numId w:val="8"/>
      </w:numPr>
      <w:spacing w:before="200" w:after="200"/>
      <w:ind w:left="720" w:hanging="720"/>
      <w:outlineLvl w:val="2"/>
    </w:pPr>
    <w:rPr>
      <w:rFonts w:eastAsiaTheme="majorEastAsia" w:cstheme="majorBidi"/>
      <w:b/>
      <w:bCs/>
      <w:noProof/>
      <w:color w:val="95A316"/>
    </w:rPr>
  </w:style>
  <w:style w:type="paragraph" w:styleId="Heading4">
    <w:name w:val="heading 4"/>
    <w:basedOn w:val="Normal"/>
    <w:next w:val="Normal"/>
    <w:link w:val="Heading4Char"/>
    <w:qFormat/>
    <w:rsid w:val="00B24092"/>
    <w:pPr>
      <w:keepNext/>
      <w:numPr>
        <w:ilvl w:val="3"/>
        <w:numId w:val="8"/>
      </w:numPr>
      <w:spacing w:before="200" w:after="200"/>
      <w:ind w:left="936" w:hanging="936"/>
      <w:outlineLvl w:val="3"/>
    </w:pPr>
    <w:rPr>
      <w:rFonts w:eastAsia="Times New Roman"/>
      <w:b/>
      <w:bCs/>
      <w:noProof/>
      <w:color w:val="95A316"/>
    </w:rPr>
  </w:style>
  <w:style w:type="paragraph" w:styleId="Heading5">
    <w:name w:val="heading 5"/>
    <w:basedOn w:val="Normal"/>
    <w:next w:val="Normal"/>
    <w:link w:val="Heading5Char"/>
    <w:uiPriority w:val="9"/>
    <w:unhideWhenUsed/>
    <w:qFormat/>
    <w:rsid w:val="009E5A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092"/>
    <w:rPr>
      <w:rFonts w:eastAsiaTheme="majorEastAsia" w:cstheme="majorBidi"/>
      <w:b/>
      <w:bCs/>
      <w:noProof/>
      <w:color w:val="95A316"/>
      <w:szCs w:val="26"/>
    </w:rPr>
  </w:style>
  <w:style w:type="character" w:customStyle="1" w:styleId="Heading3Char">
    <w:name w:val="Heading 3 Char"/>
    <w:basedOn w:val="DefaultParagraphFont"/>
    <w:link w:val="Heading3"/>
    <w:rsid w:val="00B24092"/>
    <w:rPr>
      <w:rFonts w:eastAsiaTheme="majorEastAsia" w:cstheme="majorBidi"/>
      <w:b/>
      <w:bCs/>
      <w:noProof/>
      <w:color w:val="95A316"/>
    </w:rPr>
  </w:style>
  <w:style w:type="character" w:customStyle="1" w:styleId="Heading4Char">
    <w:name w:val="Heading 4 Char"/>
    <w:basedOn w:val="DefaultParagraphFont"/>
    <w:link w:val="Heading4"/>
    <w:rsid w:val="00B24092"/>
    <w:rPr>
      <w:rFonts w:eastAsia="Times New Roman"/>
      <w:b/>
      <w:bCs/>
      <w:noProof/>
      <w:color w:val="95A316"/>
    </w:rPr>
  </w:style>
  <w:style w:type="character" w:styleId="Strong">
    <w:name w:val="Strong"/>
    <w:basedOn w:val="DefaultParagraphFont"/>
    <w:uiPriority w:val="22"/>
    <w:qFormat/>
    <w:rsid w:val="00F66C04"/>
    <w:rPr>
      <w:b/>
      <w:bCs/>
    </w:rPr>
  </w:style>
  <w:style w:type="character" w:styleId="Emphasis">
    <w:name w:val="Emphasis"/>
    <w:basedOn w:val="DefaultParagraphFont"/>
    <w:uiPriority w:val="20"/>
    <w:qFormat/>
    <w:rsid w:val="00F66C04"/>
    <w:rPr>
      <w:i/>
      <w:iCs/>
    </w:rPr>
  </w:style>
  <w:style w:type="paragraph" w:styleId="ListParagraph">
    <w:name w:val="List Paragraph"/>
    <w:basedOn w:val="Normal"/>
    <w:uiPriority w:val="34"/>
    <w:qFormat/>
    <w:rsid w:val="00F66C04"/>
    <w:pPr>
      <w:suppressAutoHyphens/>
      <w:autoSpaceDN w:val="0"/>
      <w:spacing w:line="360" w:lineRule="auto"/>
      <w:ind w:left="720"/>
      <w:textAlignment w:val="baseline"/>
    </w:pPr>
    <w:rPr>
      <w:rFonts w:eastAsia="SimSun" w:cs="Mangal"/>
      <w:kern w:val="3"/>
      <w:lang w:val="fr-BE" w:eastAsia="zh-CN" w:bidi="hi-IN"/>
    </w:rPr>
  </w:style>
  <w:style w:type="paragraph" w:styleId="NoSpacing">
    <w:name w:val="No Spacing"/>
    <w:link w:val="NoSpacingChar"/>
    <w:uiPriority w:val="1"/>
    <w:qFormat/>
    <w:rsid w:val="00D52120"/>
    <w:pPr>
      <w:ind w:left="0" w:firstLine="0"/>
      <w:jc w:val="left"/>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7665C"/>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52120"/>
    <w:rPr>
      <w:rFonts w:ascii="Tahoma" w:hAnsi="Tahoma" w:cs="Tahoma"/>
      <w:sz w:val="16"/>
      <w:szCs w:val="16"/>
    </w:rPr>
  </w:style>
  <w:style w:type="character" w:customStyle="1" w:styleId="BalloonTextChar">
    <w:name w:val="Balloon Text Char"/>
    <w:basedOn w:val="DefaultParagraphFont"/>
    <w:link w:val="BalloonText"/>
    <w:uiPriority w:val="99"/>
    <w:semiHidden/>
    <w:rsid w:val="00D52120"/>
    <w:rPr>
      <w:rFonts w:ascii="Tahoma" w:hAnsi="Tahoma" w:cs="Tahoma"/>
      <w:sz w:val="16"/>
      <w:szCs w:val="16"/>
      <w:lang w:val="fr-FR" w:eastAsia="fr-FR"/>
    </w:rPr>
  </w:style>
  <w:style w:type="paragraph" w:styleId="Header">
    <w:name w:val="header"/>
    <w:basedOn w:val="Normal"/>
    <w:link w:val="HeaderChar"/>
    <w:uiPriority w:val="99"/>
    <w:unhideWhenUsed/>
    <w:rsid w:val="00181B09"/>
    <w:pPr>
      <w:tabs>
        <w:tab w:val="center" w:pos="4513"/>
        <w:tab w:val="right" w:pos="9026"/>
      </w:tabs>
    </w:pPr>
  </w:style>
  <w:style w:type="character" w:customStyle="1" w:styleId="HeaderChar">
    <w:name w:val="Header Char"/>
    <w:basedOn w:val="DefaultParagraphFont"/>
    <w:link w:val="Header"/>
    <w:uiPriority w:val="99"/>
    <w:rsid w:val="00181B09"/>
    <w:rPr>
      <w:sz w:val="24"/>
      <w:szCs w:val="24"/>
      <w:lang w:val="fr-FR" w:eastAsia="fr-FR"/>
    </w:rPr>
  </w:style>
  <w:style w:type="paragraph" w:styleId="Footer">
    <w:name w:val="footer"/>
    <w:basedOn w:val="Normal"/>
    <w:link w:val="FooterChar"/>
    <w:uiPriority w:val="99"/>
    <w:unhideWhenUsed/>
    <w:rsid w:val="00B96276"/>
    <w:pPr>
      <w:tabs>
        <w:tab w:val="center" w:pos="4513"/>
        <w:tab w:val="right" w:pos="9026"/>
      </w:tabs>
    </w:pPr>
    <w:rPr>
      <w:sz w:val="16"/>
    </w:rPr>
  </w:style>
  <w:style w:type="character" w:customStyle="1" w:styleId="FooterChar">
    <w:name w:val="Footer Char"/>
    <w:basedOn w:val="DefaultParagraphFont"/>
    <w:link w:val="Footer"/>
    <w:uiPriority w:val="99"/>
    <w:rsid w:val="00B96276"/>
    <w:rPr>
      <w:sz w:val="16"/>
    </w:rPr>
  </w:style>
  <w:style w:type="character" w:styleId="PlaceholderText">
    <w:name w:val="Placeholder Text"/>
    <w:basedOn w:val="DefaultParagraphFont"/>
    <w:uiPriority w:val="99"/>
    <w:semiHidden/>
    <w:rsid w:val="00167A60"/>
    <w:rPr>
      <w:color w:val="808080"/>
    </w:rPr>
  </w:style>
  <w:style w:type="paragraph" w:customStyle="1" w:styleId="COVERTITLE">
    <w:name w:val="COVER TITLE"/>
    <w:basedOn w:val="Normal"/>
    <w:link w:val="COVERTITLEChar"/>
    <w:autoRedefine/>
    <w:qFormat/>
    <w:rsid w:val="007834F9"/>
    <w:pPr>
      <w:keepLines/>
      <w:spacing w:before="360"/>
      <w:ind w:left="142"/>
      <w:jc w:val="left"/>
      <w:textboxTightWrap w:val="firstLineOnly"/>
    </w:pPr>
    <w:rPr>
      <w:smallCaps/>
      <w:color w:val="003F6F"/>
      <w:sz w:val="40"/>
      <w:szCs w:val="44"/>
    </w:rPr>
  </w:style>
  <w:style w:type="table" w:styleId="TableGrid">
    <w:name w:val="Table Grid"/>
    <w:basedOn w:val="TableNormal"/>
    <w:uiPriority w:val="59"/>
    <w:rsid w:val="00A2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248D4"/>
    <w:pPr>
      <w:widowControl w:val="0"/>
      <w:autoSpaceDE w:val="0"/>
      <w:autoSpaceDN w:val="0"/>
      <w:adjustRightInd w:val="0"/>
      <w:spacing w:line="288" w:lineRule="auto"/>
      <w:jc w:val="left"/>
      <w:textAlignment w:val="center"/>
    </w:pPr>
    <w:rPr>
      <w:rFonts w:ascii="MinionPro-Regular" w:eastAsia="Times New Roman" w:hAnsi="MinionPro-Regular" w:cs="MinionPro-Regular"/>
      <w:color w:val="000000"/>
      <w:sz w:val="24"/>
      <w:szCs w:val="24"/>
    </w:rPr>
  </w:style>
  <w:style w:type="character" w:customStyle="1" w:styleId="COVERTITLEChar">
    <w:name w:val="COVER TITLE Char"/>
    <w:basedOn w:val="DefaultParagraphFont"/>
    <w:link w:val="COVERTITLE"/>
    <w:rsid w:val="007834F9"/>
    <w:rPr>
      <w:smallCaps/>
      <w:color w:val="003F6F"/>
      <w:sz w:val="40"/>
      <w:szCs w:val="44"/>
    </w:rPr>
  </w:style>
  <w:style w:type="paragraph" w:customStyle="1" w:styleId="POSITIONPAPERSUBTITLE">
    <w:name w:val="POSITION PAPER SUBTITLE"/>
    <w:basedOn w:val="Normal"/>
    <w:next w:val="Normal"/>
    <w:uiPriority w:val="1"/>
    <w:rsid w:val="00530933"/>
    <w:pPr>
      <w:ind w:right="360"/>
      <w:jc w:val="center"/>
    </w:pPr>
    <w:rPr>
      <w:rFonts w:eastAsia="Times New Roman"/>
      <w:color w:val="003366"/>
      <w:sz w:val="36"/>
      <w:szCs w:val="36"/>
    </w:rPr>
  </w:style>
  <w:style w:type="paragraph" w:customStyle="1" w:styleId="COVERSUBTITLE">
    <w:name w:val="COVER SUBTITLE"/>
    <w:basedOn w:val="NoSpacing"/>
    <w:qFormat/>
    <w:rsid w:val="002D7814"/>
    <w:pPr>
      <w:spacing w:before="320"/>
      <w:ind w:left="992"/>
    </w:pPr>
    <w:rPr>
      <w:rFonts w:ascii="Verdana" w:hAnsi="Verdana"/>
      <w:color w:val="003F6F"/>
      <w:sz w:val="28"/>
    </w:rPr>
  </w:style>
  <w:style w:type="character" w:styleId="Hyperlink">
    <w:name w:val="Hyperlink"/>
    <w:basedOn w:val="DefaultParagraphFont"/>
    <w:uiPriority w:val="99"/>
    <w:unhideWhenUsed/>
    <w:rsid w:val="00E915F1"/>
    <w:rPr>
      <w:color w:val="0000FF" w:themeColor="hyperlink"/>
      <w:u w:val="single"/>
    </w:rPr>
  </w:style>
  <w:style w:type="paragraph" w:styleId="FootnoteText">
    <w:name w:val="footnote text"/>
    <w:basedOn w:val="Normal"/>
    <w:link w:val="FootnoteTextChar"/>
    <w:uiPriority w:val="99"/>
    <w:unhideWhenUsed/>
    <w:rsid w:val="007D0BF9"/>
    <w:rPr>
      <w:sz w:val="16"/>
    </w:rPr>
  </w:style>
  <w:style w:type="character" w:customStyle="1" w:styleId="FootnoteTextChar">
    <w:name w:val="Footnote Text Char"/>
    <w:basedOn w:val="DefaultParagraphFont"/>
    <w:link w:val="FootnoteText"/>
    <w:uiPriority w:val="99"/>
    <w:rsid w:val="007D0BF9"/>
    <w:rPr>
      <w:sz w:val="16"/>
    </w:rPr>
  </w:style>
  <w:style w:type="character" w:styleId="FootnoteReference">
    <w:name w:val="footnote reference"/>
    <w:basedOn w:val="DefaultParagraphFont"/>
    <w:uiPriority w:val="1"/>
    <w:unhideWhenUsed/>
    <w:rsid w:val="00B96276"/>
    <w:rPr>
      <w:rFonts w:ascii="Verdana" w:hAnsi="Verdana"/>
      <w:sz w:val="16"/>
      <w:vertAlign w:val="superscript"/>
    </w:rPr>
  </w:style>
  <w:style w:type="paragraph" w:customStyle="1" w:styleId="Normal1">
    <w:name w:val="Normal1"/>
    <w:uiPriority w:val="1"/>
    <w:rsid w:val="00830418"/>
    <w:pPr>
      <w:spacing w:line="276" w:lineRule="auto"/>
      <w:ind w:left="0" w:firstLine="0"/>
      <w:jc w:val="left"/>
    </w:pPr>
    <w:rPr>
      <w:rFonts w:ascii="Arial" w:eastAsia="Times New Roman" w:hAnsi="Arial" w:cs="Arial"/>
      <w:color w:val="000000"/>
      <w:sz w:val="22"/>
      <w:szCs w:val="22"/>
      <w:lang w:eastAsia="en-GB"/>
    </w:rPr>
  </w:style>
  <w:style w:type="character" w:customStyle="1" w:styleId="Heading1Char">
    <w:name w:val="Heading 1 Char"/>
    <w:basedOn w:val="DefaultParagraphFont"/>
    <w:link w:val="Heading1"/>
    <w:rsid w:val="00AC3C84"/>
    <w:rPr>
      <w:rFonts w:eastAsiaTheme="majorEastAsia" w:cstheme="majorBidi"/>
      <w:b/>
      <w:bCs/>
      <w:color w:val="95A316"/>
      <w:sz w:val="22"/>
      <w:szCs w:val="28"/>
    </w:rPr>
  </w:style>
  <w:style w:type="paragraph" w:styleId="CommentText">
    <w:name w:val="annotation text"/>
    <w:basedOn w:val="Normal"/>
    <w:link w:val="CommentTextChar"/>
    <w:uiPriority w:val="99"/>
    <w:unhideWhenUsed/>
    <w:rsid w:val="006D09D8"/>
    <w:pPr>
      <w:spacing w:after="160"/>
      <w:jc w:val="left"/>
    </w:pPr>
    <w:rPr>
      <w:rFonts w:ascii="Calibri" w:eastAsia="Calibri" w:hAnsi="Calibri" w:cs="Calibri"/>
      <w:color w:val="000000"/>
      <w:lang w:eastAsia="en-GB"/>
    </w:rPr>
  </w:style>
  <w:style w:type="character" w:customStyle="1" w:styleId="CommentTextChar">
    <w:name w:val="Comment Text Char"/>
    <w:basedOn w:val="DefaultParagraphFont"/>
    <w:link w:val="CommentText"/>
    <w:uiPriority w:val="99"/>
    <w:rsid w:val="006D09D8"/>
    <w:rPr>
      <w:rFonts w:ascii="Calibri" w:eastAsia="Calibri" w:hAnsi="Calibri" w:cs="Calibri"/>
      <w:color w:val="000000"/>
      <w:lang w:eastAsia="en-GB"/>
    </w:rPr>
  </w:style>
  <w:style w:type="paragraph" w:styleId="TOC1">
    <w:name w:val="toc 1"/>
    <w:basedOn w:val="Normal"/>
    <w:next w:val="Normal"/>
    <w:autoRedefine/>
    <w:uiPriority w:val="39"/>
    <w:rsid w:val="00B7665C"/>
    <w:pPr>
      <w:tabs>
        <w:tab w:val="left" w:pos="851"/>
        <w:tab w:val="right" w:leader="dot" w:pos="9060"/>
      </w:tabs>
      <w:spacing w:before="120" w:after="120" w:line="276" w:lineRule="auto"/>
      <w:ind w:left="454" w:hanging="454"/>
    </w:pPr>
    <w:rPr>
      <w:b/>
    </w:rPr>
  </w:style>
  <w:style w:type="paragraph" w:styleId="TOC2">
    <w:name w:val="toc 2"/>
    <w:basedOn w:val="Normal"/>
    <w:next w:val="Normal"/>
    <w:autoRedefine/>
    <w:uiPriority w:val="39"/>
    <w:rsid w:val="00CB017F"/>
    <w:pPr>
      <w:tabs>
        <w:tab w:val="left" w:pos="851"/>
        <w:tab w:val="right" w:leader="dot" w:pos="9060"/>
      </w:tabs>
      <w:spacing w:after="100"/>
      <w:ind w:left="851" w:hanging="851"/>
    </w:pPr>
  </w:style>
  <w:style w:type="paragraph" w:styleId="TOC3">
    <w:name w:val="toc 3"/>
    <w:basedOn w:val="Normal"/>
    <w:next w:val="Normal"/>
    <w:autoRedefine/>
    <w:uiPriority w:val="39"/>
    <w:rsid w:val="002B28DE"/>
    <w:pPr>
      <w:tabs>
        <w:tab w:val="left" w:pos="851"/>
        <w:tab w:val="right" w:leader="dot" w:pos="9060"/>
      </w:tabs>
      <w:spacing w:after="100"/>
      <w:ind w:left="1305" w:hanging="851"/>
    </w:pPr>
  </w:style>
  <w:style w:type="paragraph" w:styleId="TOC4">
    <w:name w:val="toc 4"/>
    <w:basedOn w:val="Normal"/>
    <w:next w:val="Normal"/>
    <w:autoRedefine/>
    <w:rsid w:val="006D1F77"/>
    <w:pPr>
      <w:tabs>
        <w:tab w:val="right" w:leader="dot" w:pos="9060"/>
      </w:tabs>
      <w:spacing w:after="100"/>
      <w:ind w:left="600"/>
    </w:pPr>
  </w:style>
  <w:style w:type="character" w:styleId="IntenseEmphasis">
    <w:name w:val="Intense Emphasis"/>
    <w:basedOn w:val="DefaultParagraphFont"/>
    <w:uiPriority w:val="21"/>
    <w:qFormat/>
    <w:rsid w:val="005C6C40"/>
    <w:rPr>
      <w:b/>
      <w:bCs/>
      <w:i/>
      <w:iCs/>
      <w:color w:val="4F81BD" w:themeColor="accent1"/>
    </w:rPr>
  </w:style>
  <w:style w:type="paragraph" w:styleId="NormalWeb">
    <w:name w:val="Normal (Web)"/>
    <w:basedOn w:val="Normal"/>
    <w:uiPriority w:val="99"/>
    <w:semiHidden/>
    <w:unhideWhenUsed/>
    <w:rsid w:val="005C6C40"/>
    <w:pPr>
      <w:spacing w:before="100" w:beforeAutospacing="1" w:after="100" w:afterAutospacing="1"/>
      <w:jc w:val="left"/>
    </w:pPr>
    <w:rPr>
      <w:rFonts w:ascii="Times New Roman" w:eastAsiaTheme="minorEastAsia" w:hAnsi="Times New Roman"/>
      <w:sz w:val="24"/>
      <w:szCs w:val="24"/>
      <w:lang w:eastAsia="en-GB"/>
    </w:rPr>
  </w:style>
  <w:style w:type="paragraph" w:styleId="TOCHeading">
    <w:name w:val="TOC Heading"/>
    <w:basedOn w:val="Heading1"/>
    <w:next w:val="Normal"/>
    <w:uiPriority w:val="39"/>
    <w:unhideWhenUsed/>
    <w:qFormat/>
    <w:rsid w:val="00B24092"/>
    <w:pPr>
      <w:numPr>
        <w:numId w:val="0"/>
      </w:numPr>
      <w:pBdr>
        <w:bottom w:val="none" w:sz="0" w:space="0" w:color="auto"/>
      </w:pBdr>
      <w:spacing w:before="480" w:after="0" w:line="276" w:lineRule="auto"/>
      <w:jc w:val="left"/>
      <w:outlineLvl w:val="9"/>
    </w:pPr>
    <w:rPr>
      <w:rFonts w:asciiTheme="majorHAnsi" w:hAnsiTheme="majorHAnsi"/>
      <w:color w:val="365F91" w:themeColor="accent1" w:themeShade="BF"/>
      <w:sz w:val="28"/>
      <w:lang w:val="en-US" w:eastAsia="ja-JP"/>
    </w:rPr>
  </w:style>
  <w:style w:type="paragraph" w:styleId="Subtitle">
    <w:name w:val="Subtitle"/>
    <w:aliases w:val="Introductory text"/>
    <w:basedOn w:val="Normal"/>
    <w:next w:val="Normal"/>
    <w:link w:val="SubtitleChar"/>
    <w:qFormat/>
    <w:rsid w:val="007E2228"/>
    <w:pPr>
      <w:numPr>
        <w:ilvl w:val="1"/>
      </w:numPr>
    </w:pPr>
    <w:rPr>
      <w:rFonts w:eastAsiaTheme="majorEastAsia" w:cstheme="majorBidi"/>
      <w:iCs/>
      <w:color w:val="95A316"/>
      <w:spacing w:val="15"/>
      <w:sz w:val="21"/>
      <w:szCs w:val="24"/>
    </w:rPr>
  </w:style>
  <w:style w:type="character" w:customStyle="1" w:styleId="SubtitleChar">
    <w:name w:val="Subtitle Char"/>
    <w:aliases w:val="Introductory text Char"/>
    <w:basedOn w:val="DefaultParagraphFont"/>
    <w:link w:val="Subtitle"/>
    <w:rsid w:val="007E2228"/>
    <w:rPr>
      <w:rFonts w:eastAsiaTheme="majorEastAsia" w:cstheme="majorBidi"/>
      <w:iCs/>
      <w:color w:val="95A316"/>
      <w:spacing w:val="15"/>
      <w:sz w:val="21"/>
      <w:szCs w:val="24"/>
    </w:rPr>
  </w:style>
  <w:style w:type="paragraph" w:customStyle="1" w:styleId="TITLE1">
    <w:name w:val="TITLE 1"/>
    <w:basedOn w:val="Normal"/>
    <w:qFormat/>
    <w:rsid w:val="00BE1DCA"/>
    <w:pPr>
      <w:pBdr>
        <w:bottom w:val="single" w:sz="12" w:space="10" w:color="50B2D6"/>
      </w:pBdr>
      <w:spacing w:before="240" w:after="280"/>
    </w:pPr>
    <w:rPr>
      <w:b/>
      <w:bCs/>
      <w:color w:val="95A316"/>
      <w:sz w:val="22"/>
      <w:szCs w:val="22"/>
    </w:rPr>
  </w:style>
  <w:style w:type="paragraph" w:customStyle="1" w:styleId="TITLE2">
    <w:name w:val="TITLE 2"/>
    <w:basedOn w:val="Normal"/>
    <w:qFormat/>
    <w:rsid w:val="00BA777F"/>
    <w:pPr>
      <w:spacing w:before="240" w:after="240"/>
    </w:pPr>
    <w:rPr>
      <w:b/>
      <w:bCs/>
      <w:color w:val="95A316"/>
    </w:rPr>
  </w:style>
  <w:style w:type="paragraph" w:customStyle="1" w:styleId="FRAMETABLE">
    <w:name w:val="FRAME/TABLE"/>
    <w:basedOn w:val="Normal"/>
    <w:qFormat/>
    <w:rsid w:val="00BA777F"/>
    <w:pPr>
      <w:pBdr>
        <w:top w:val="single" w:sz="2" w:space="8" w:color="auto"/>
        <w:left w:val="single" w:sz="2" w:space="6" w:color="auto"/>
        <w:bottom w:val="single" w:sz="2" w:space="8" w:color="auto"/>
        <w:right w:val="single" w:sz="2" w:space="6" w:color="auto"/>
      </w:pBdr>
    </w:pPr>
    <w:rPr>
      <w:rFonts w:eastAsia="Calibri" w:cs="Arial"/>
      <w:lang w:eastAsia="fr-FR"/>
    </w:rPr>
  </w:style>
  <w:style w:type="character" w:styleId="CommentReference">
    <w:name w:val="annotation reference"/>
    <w:basedOn w:val="DefaultParagraphFont"/>
    <w:uiPriority w:val="99"/>
    <w:semiHidden/>
    <w:unhideWhenUsed/>
    <w:rsid w:val="0055724E"/>
    <w:rPr>
      <w:sz w:val="16"/>
      <w:szCs w:val="16"/>
    </w:rPr>
  </w:style>
  <w:style w:type="paragraph" w:styleId="CommentSubject">
    <w:name w:val="annotation subject"/>
    <w:basedOn w:val="CommentText"/>
    <w:next w:val="CommentText"/>
    <w:link w:val="CommentSubjectChar"/>
    <w:uiPriority w:val="99"/>
    <w:semiHidden/>
    <w:unhideWhenUsed/>
    <w:rsid w:val="0055724E"/>
    <w:pPr>
      <w:spacing w:after="0"/>
      <w:jc w:val="both"/>
    </w:pPr>
    <w:rPr>
      <w:rFonts w:ascii="Verdana" w:eastAsiaTheme="minorHAnsi" w:hAnsi="Verdana" w:cs="Times New Roman"/>
      <w:b/>
      <w:bCs/>
      <w:color w:val="auto"/>
      <w:lang w:eastAsia="en-US"/>
    </w:rPr>
  </w:style>
  <w:style w:type="character" w:customStyle="1" w:styleId="CommentSubjectChar">
    <w:name w:val="Comment Subject Char"/>
    <w:basedOn w:val="CommentTextChar"/>
    <w:link w:val="CommentSubject"/>
    <w:uiPriority w:val="99"/>
    <w:semiHidden/>
    <w:rsid w:val="0055724E"/>
    <w:rPr>
      <w:rFonts w:ascii="Calibri" w:eastAsia="Calibri" w:hAnsi="Calibri" w:cs="Calibri"/>
      <w:b/>
      <w:bCs/>
      <w:color w:val="000000"/>
      <w:lang w:eastAsia="en-GB"/>
    </w:rPr>
  </w:style>
  <w:style w:type="character" w:customStyle="1" w:styleId="Heading5Char">
    <w:name w:val="Heading 5 Char"/>
    <w:basedOn w:val="DefaultParagraphFont"/>
    <w:link w:val="Heading5"/>
    <w:uiPriority w:val="9"/>
    <w:rsid w:val="009E5A6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894BDD"/>
    <w:rPr>
      <w:color w:val="800080" w:themeColor="followedHyperlink"/>
      <w:u w:val="single"/>
    </w:rPr>
  </w:style>
  <w:style w:type="paragraph" w:customStyle="1" w:styleId="Default">
    <w:name w:val="Default"/>
    <w:rsid w:val="00BD21D1"/>
    <w:pPr>
      <w:autoSpaceDE w:val="0"/>
      <w:autoSpaceDN w:val="0"/>
      <w:adjustRightInd w:val="0"/>
      <w:ind w:left="0" w:firstLine="0"/>
      <w:jc w:val="left"/>
    </w:pPr>
    <w:rPr>
      <w:rFonts w:ascii="Arial" w:hAnsi="Arial" w:cs="Arial"/>
      <w:color w:val="000000"/>
      <w:sz w:val="24"/>
      <w:szCs w:val="24"/>
    </w:rPr>
  </w:style>
  <w:style w:type="paragraph" w:styleId="Revision">
    <w:name w:val="Revision"/>
    <w:hidden/>
    <w:uiPriority w:val="99"/>
    <w:semiHidden/>
    <w:rsid w:val="00737E2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9706">
      <w:bodyDiv w:val="1"/>
      <w:marLeft w:val="0"/>
      <w:marRight w:val="0"/>
      <w:marTop w:val="0"/>
      <w:marBottom w:val="0"/>
      <w:divBdr>
        <w:top w:val="none" w:sz="0" w:space="0" w:color="auto"/>
        <w:left w:val="none" w:sz="0" w:space="0" w:color="auto"/>
        <w:bottom w:val="none" w:sz="0" w:space="0" w:color="auto"/>
        <w:right w:val="none" w:sz="0" w:space="0" w:color="auto"/>
      </w:divBdr>
    </w:div>
    <w:div w:id="474953414">
      <w:bodyDiv w:val="1"/>
      <w:marLeft w:val="0"/>
      <w:marRight w:val="0"/>
      <w:marTop w:val="0"/>
      <w:marBottom w:val="0"/>
      <w:divBdr>
        <w:top w:val="none" w:sz="0" w:space="0" w:color="auto"/>
        <w:left w:val="none" w:sz="0" w:space="0" w:color="auto"/>
        <w:bottom w:val="none" w:sz="0" w:space="0" w:color="auto"/>
        <w:right w:val="none" w:sz="0" w:space="0" w:color="auto"/>
      </w:divBdr>
    </w:div>
    <w:div w:id="1049113684">
      <w:bodyDiv w:val="1"/>
      <w:marLeft w:val="0"/>
      <w:marRight w:val="0"/>
      <w:marTop w:val="0"/>
      <w:marBottom w:val="0"/>
      <w:divBdr>
        <w:top w:val="none" w:sz="0" w:space="0" w:color="auto"/>
        <w:left w:val="none" w:sz="0" w:space="0" w:color="auto"/>
        <w:bottom w:val="none" w:sz="0" w:space="0" w:color="auto"/>
        <w:right w:val="none" w:sz="0" w:space="0" w:color="auto"/>
      </w:divBdr>
    </w:div>
    <w:div w:id="1157380797">
      <w:bodyDiv w:val="1"/>
      <w:marLeft w:val="0"/>
      <w:marRight w:val="0"/>
      <w:marTop w:val="0"/>
      <w:marBottom w:val="0"/>
      <w:divBdr>
        <w:top w:val="none" w:sz="0" w:space="0" w:color="auto"/>
        <w:left w:val="none" w:sz="0" w:space="0" w:color="auto"/>
        <w:bottom w:val="none" w:sz="0" w:space="0" w:color="auto"/>
        <w:right w:val="none" w:sz="0" w:space="0" w:color="auto"/>
      </w:divBdr>
    </w:div>
    <w:div w:id="1309093851">
      <w:bodyDiv w:val="1"/>
      <w:marLeft w:val="0"/>
      <w:marRight w:val="0"/>
      <w:marTop w:val="0"/>
      <w:marBottom w:val="0"/>
      <w:divBdr>
        <w:top w:val="none" w:sz="0" w:space="0" w:color="auto"/>
        <w:left w:val="none" w:sz="0" w:space="0" w:color="auto"/>
        <w:bottom w:val="none" w:sz="0" w:space="0" w:color="auto"/>
        <w:right w:val="none" w:sz="0" w:space="0" w:color="auto"/>
      </w:divBdr>
    </w:div>
    <w:div w:id="1362434181">
      <w:bodyDiv w:val="1"/>
      <w:marLeft w:val="0"/>
      <w:marRight w:val="0"/>
      <w:marTop w:val="0"/>
      <w:marBottom w:val="0"/>
      <w:divBdr>
        <w:top w:val="none" w:sz="0" w:space="0" w:color="auto"/>
        <w:left w:val="none" w:sz="0" w:space="0" w:color="auto"/>
        <w:bottom w:val="none" w:sz="0" w:space="0" w:color="auto"/>
        <w:right w:val="none" w:sz="0" w:space="0" w:color="auto"/>
      </w:divBdr>
    </w:div>
    <w:div w:id="14026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D19FF1.698FEDF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9FF1.698FEDF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c.europa.eu/smart-regulation/roadmaps/docs/2017_env_005_reach_refit_en.pdf"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ebgate.ec.europa.eu/transparency/regrin/welcome.do?locale=en" TargetMode="External"/><Relationship Id="rId2" Type="http://schemas.openxmlformats.org/officeDocument/2006/relationships/hyperlink" Target="mailto:mvu@anec.eu" TargetMode="External"/><Relationship Id="rId1" Type="http://schemas.openxmlformats.org/officeDocument/2006/relationships/hyperlink" Target="mailto:safety@beuc.eu" TargetMode="External"/><Relationship Id="rId5" Type="http://schemas.openxmlformats.org/officeDocument/2006/relationships/hyperlink" Target="https://webgate.ec.europa.eu/transparency/regrin/welcome.do?locale=en" TargetMode="External"/><Relationship Id="rId4" Type="http://schemas.openxmlformats.org/officeDocument/2006/relationships/hyperlink" Target="http://www.beuc.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HTML/?uri=CELEX:32013D1386&amp;from=EN" TargetMode="External"/><Relationship Id="rId3" Type="http://schemas.openxmlformats.org/officeDocument/2006/relationships/hyperlink" Target="http://ec.europa.eu/smart-regulation/guidelines/docs/swd_br_guidelines_en.pdf" TargetMode="External"/><Relationship Id="rId7" Type="http://schemas.openxmlformats.org/officeDocument/2006/relationships/hyperlink" Target="http://chemsec.org/news/news-2016/january-march/1538-hazard-vs-risk-what-is-best-practice-when-assessing-chemicals" TargetMode="External"/><Relationship Id="rId12" Type="http://schemas.openxmlformats.org/officeDocument/2006/relationships/hyperlink" Target="http://www.chemtrust.org.uk/wp-content/uploads/chemtrust-circulareconomy-aug2015.pdf" TargetMode="External"/><Relationship Id="rId2" Type="http://schemas.openxmlformats.org/officeDocument/2006/relationships/hyperlink" Target="http://ec.europa.eu/growth/tools-databases/newsroom/cf/itemdetail.cfm?item_id=8695&amp;lang=en&amp;title=Consultation-on-the-regulatory-fitness-of-chemicals-legislation-%28excluding-REACH%29" TargetMode="External"/><Relationship Id="rId1" Type="http://schemas.openxmlformats.org/officeDocument/2006/relationships/hyperlink" Target="http://ec.europa.eu/DocsRoom/documents/15773/attachments/1/translations/en/renditions/native" TargetMode="External"/><Relationship Id="rId6" Type="http://schemas.openxmlformats.org/officeDocument/2006/relationships/hyperlink" Target="http://ec.europa.eu/growth/sectors/chemicals/ec-support/index_en.htm" TargetMode="External"/><Relationship Id="rId11" Type="http://schemas.openxmlformats.org/officeDocument/2006/relationships/hyperlink" Target="http://www.beuc.eu/publications/2012-00799-01-e.pdf" TargetMode="External"/><Relationship Id="rId5" Type="http://schemas.openxmlformats.org/officeDocument/2006/relationships/hyperlink" Target="http://ec.europa.eu/smart-regulation/roadmaps/docs/2017_env_005_reach_refit_en.pdf" TargetMode="External"/><Relationship Id="rId10" Type="http://schemas.openxmlformats.org/officeDocument/2006/relationships/hyperlink" Target="http://www.anec.eu/attachments/ANEC-PT-2014-CEG-002.pdf" TargetMode="External"/><Relationship Id="rId4" Type="http://schemas.openxmlformats.org/officeDocument/2006/relationships/hyperlink" Target="http://ec.europa.eu/smart-regulation/impact/planned_ia/planned_ia_en.htm" TargetMode="External"/><Relationship Id="rId9" Type="http://schemas.openxmlformats.org/officeDocument/2006/relationships/hyperlink" Target="http://eur-lex.europa.eu/legal-content/EN/TXT/?uri=CELEX%3A32013D138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BEUC\POSITION%20PAPER%202016.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4353-7A40-45A2-B98A-2CBB55DF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PAPER 2016.dotx</Template>
  <TotalTime>4</TotalTime>
  <Pages>7</Pages>
  <Words>2452</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BEUC-X-201X-000</vt:lpstr>
      <vt:lpstr>BEUC-X-201X-000</vt:lpstr>
    </vt:vector>
  </TitlesOfParts>
  <Company>Hewlett-Packard Company</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BEUC-X-201X-000</dc:title>
  <dc:creator>Sylvia Maurer (BEUC)</dc:creator>
  <cp:lastModifiedBy>MVU - ANEC</cp:lastModifiedBy>
  <cp:revision>4</cp:revision>
  <cp:lastPrinted>2016-04-20T13:20:00Z</cp:lastPrinted>
  <dcterms:created xsi:type="dcterms:W3CDTF">2016-05-24T10:30:00Z</dcterms:created>
  <dcterms:modified xsi:type="dcterms:W3CDTF">2016-05-24T10:47:00Z</dcterms:modified>
</cp:coreProperties>
</file>