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A44E5">
        <w:rPr>
          <w:sz w:val="22"/>
          <w:szCs w:val="22"/>
        </w:rPr>
        <w:t>2</w:t>
      </w:r>
      <w:r w:rsidR="00A8392D">
        <w:rPr>
          <w:sz w:val="22"/>
          <w:szCs w:val="22"/>
        </w:rPr>
        <w:t xml:space="preserve"> </w:t>
      </w:r>
      <w:r w:rsidR="00CA44E5">
        <w:rPr>
          <w:sz w:val="22"/>
          <w:szCs w:val="22"/>
        </w:rPr>
        <w:t>Be</w:t>
      </w:r>
      <w:r>
        <w:rPr>
          <w:sz w:val="22"/>
          <w:szCs w:val="22"/>
        </w:rPr>
        <w:t>zpečnost</w:t>
      </w:r>
      <w:r w:rsidR="00CA44E5">
        <w:rPr>
          <w:sz w:val="22"/>
          <w:szCs w:val="22"/>
        </w:rPr>
        <w:t xml:space="preserve"> dětí</w:t>
      </w:r>
    </w:p>
    <w:p w:rsidR="001A20B8" w:rsidRDefault="00CA44E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(souhrn)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9C0105">
        <w:rPr>
          <w:sz w:val="22"/>
          <w:szCs w:val="22"/>
        </w:rPr>
        <w:t>6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44E5" w:rsidRPr="006C2F6F" w:rsidRDefault="00CA44E5" w:rsidP="00CA44E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  <w:r w:rsidRPr="006C2F6F">
        <w:rPr>
          <w:b/>
          <w:sz w:val="22"/>
          <w:szCs w:val="22"/>
        </w:rPr>
        <w:t>Souhrn, příklady výstupů zapojení:</w:t>
      </w:r>
    </w:p>
    <w:p w:rsidR="00332C9D" w:rsidRPr="006A7214" w:rsidRDefault="00332C9D" w:rsidP="00332C9D">
      <w:pPr>
        <w:pStyle w:val="Odstavecseseznamem"/>
        <w:numPr>
          <w:ilvl w:val="1"/>
          <w:numId w:val="31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Všeobecně</w:t>
      </w:r>
      <w:r>
        <w:rPr>
          <w:b/>
          <w:sz w:val="20"/>
          <w:szCs w:val="20"/>
        </w:rPr>
        <w:t>, chemie</w:t>
      </w:r>
    </w:p>
    <w:p w:rsidR="00332C9D" w:rsidRPr="009937F6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9937F6">
        <w:rPr>
          <w:b/>
        </w:rPr>
        <w:t>Projekt SAMNIC - webové stránky on-line</w:t>
      </w:r>
    </w:p>
    <w:p w:rsidR="00332C9D" w:rsidRPr="009937F6" w:rsidRDefault="00332C9D" w:rsidP="00332C9D">
      <w:pPr>
        <w:spacing w:after="120"/>
        <w:ind w:right="-286"/>
        <w:jc w:val="both"/>
      </w:pPr>
      <w:r w:rsidRPr="009937F6">
        <w:t xml:space="preserve">ANEC je jedním z pěti členů konsorcia, které obdrželo finanční prostředky v rámci programu Erasmus na projekt </w:t>
      </w:r>
      <w:r>
        <w:t>školení o „</w:t>
      </w:r>
      <w:r w:rsidRPr="009937F6">
        <w:t xml:space="preserve">Posouzení a řízení bezpečnosti pro nové a inovativní výrobky pro děti (SAMNIC)". Projekt SAMNIC potrvá do 31. srpna 2016. </w:t>
      </w:r>
      <w:r w:rsidRPr="00A42DEE">
        <w:t xml:space="preserve">Hlavním cílem projektu SAMNIC je rozvoj inovativního nástroje zvaného MOOC, který má poskytovat školení o bezpečnosti dětských výrobků. MOOC bude dostupný online, bez jakýchkoliv omezení. Na webových stránkách - </w:t>
      </w:r>
      <w:hyperlink r:id="rId9" w:history="1">
        <w:r w:rsidRPr="00A42DEE">
          <w:rPr>
            <w:rStyle w:val="Hypertextovodkaz"/>
          </w:rPr>
          <w:t>Zde</w:t>
        </w:r>
      </w:hyperlink>
      <w:r w:rsidRPr="00A42DEE">
        <w:t>, je vyvinutý on-line kurz k dispozici pro uživatele ve španělštině, angličtině, francouzštině, italštině a češtině. Kromě tréninku bude MOOC sloužit také jako interaktivní fórum, které usnadní výměnu zkušeností a správné praxe v oblasti vzdělávání.</w:t>
      </w:r>
      <w:r w:rsidRPr="009937F6">
        <w:t xml:space="preserve"> </w:t>
      </w:r>
    </w:p>
    <w:p w:rsidR="00332C9D" w:rsidRPr="002408F9" w:rsidRDefault="00332C9D" w:rsidP="00332C9D">
      <w:pPr>
        <w:spacing w:after="120"/>
        <w:ind w:right="-286"/>
        <w:jc w:val="both"/>
      </w:pPr>
      <w:r>
        <w:t>Odkazujeme na</w:t>
      </w:r>
      <w:r w:rsidRPr="009937F6">
        <w:t xml:space="preserve"> třetí newsletter, který vyšel letos v březnu v souvislosti s tímto projektem</w:t>
      </w:r>
      <w:r>
        <w:t xml:space="preserve"> a</w:t>
      </w:r>
      <w:r w:rsidRPr="009937F6">
        <w:t xml:space="preserve"> který naleznete </w:t>
      </w:r>
      <w:hyperlink r:id="rId10" w:history="1">
        <w:r w:rsidRPr="009937F6">
          <w:rPr>
            <w:rStyle w:val="Hypertextovodkaz"/>
          </w:rPr>
          <w:t>ZDE</w:t>
        </w:r>
      </w:hyperlink>
      <w:r>
        <w:t xml:space="preserve">, včetně </w:t>
      </w:r>
      <w:r w:rsidRPr="009937F6">
        <w:t>bližší</w:t>
      </w:r>
      <w:r>
        <w:t>ch</w:t>
      </w:r>
      <w:r w:rsidRPr="009937F6">
        <w:t xml:space="preserve"> informac</w:t>
      </w:r>
      <w:r>
        <w:t>í</w:t>
      </w:r>
      <w:r w:rsidRPr="009937F6">
        <w:t xml:space="preserve"> k video prezentacím, které byly spuštěny, tréninkovým materiálům </w:t>
      </w:r>
      <w:r>
        <w:t>aj.</w:t>
      </w:r>
      <w:r w:rsidRPr="009937F6">
        <w:t xml:space="preserve"> </w:t>
      </w:r>
    </w:p>
    <w:p w:rsidR="00332C9D" w:rsidRPr="009937F6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9937F6">
        <w:rPr>
          <w:b/>
        </w:rPr>
        <w:t>Nižší limity pro chemické látky v</w:t>
      </w:r>
      <w:r>
        <w:rPr>
          <w:b/>
        </w:rPr>
        <w:t> </w:t>
      </w:r>
      <w:r w:rsidRPr="009937F6">
        <w:rPr>
          <w:b/>
        </w:rPr>
        <w:t>hračkách</w:t>
      </w:r>
    </w:p>
    <w:p w:rsidR="00332C9D" w:rsidRPr="00046E3A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046E3A">
        <w:rPr>
          <w:sz w:val="20"/>
          <w:szCs w:val="20"/>
        </w:rPr>
        <w:t>Spotřebitelé vítají pozitivní stanovisko Výboru pro bezpečnost hraček (ustaveného při EK) z června 2015, aby příslušná směrnice zahrnovala nové mezní hodnoty pro formamid a senzibilizátory (CMI, MI, CMI / MI 3: 1 a BIT). Hodnoty byly stanoveny podle podskupin Evropské Komise pro chemické látky v hračkách. Spotřebitelé byli a jsou v diskuzi zastoupení prostřednictvím ANEC, který vznik příslušné podskupiny před lety spoluinicioval.</w:t>
      </w:r>
    </w:p>
    <w:p w:rsidR="00332C9D" w:rsidRPr="00046E3A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046E3A">
        <w:rPr>
          <w:sz w:val="20"/>
          <w:szCs w:val="20"/>
        </w:rPr>
        <w:t xml:space="preserve">Posiční dokument ANEC </w:t>
      </w:r>
      <w:r>
        <w:rPr>
          <w:sz w:val="20"/>
          <w:szCs w:val="20"/>
        </w:rPr>
        <w:t>na f</w:t>
      </w:r>
      <w:r w:rsidRPr="00046E3A">
        <w:rPr>
          <w:sz w:val="20"/>
          <w:szCs w:val="20"/>
        </w:rPr>
        <w:t xml:space="preserve">ormaldehyd, návrh požadavků do směrnice pro bezpečnost hraček (vystavit na web i s prezentací </w:t>
      </w:r>
      <w:r>
        <w:rPr>
          <w:sz w:val="20"/>
          <w:szCs w:val="20"/>
        </w:rPr>
        <w:t xml:space="preserve">experta ANEC, F. </w:t>
      </w:r>
      <w:r w:rsidRPr="00046E3A">
        <w:rPr>
          <w:sz w:val="20"/>
          <w:szCs w:val="20"/>
        </w:rPr>
        <w:t>Fialy)</w:t>
      </w:r>
      <w:r>
        <w:rPr>
          <w:sz w:val="20"/>
          <w:szCs w:val="20"/>
        </w:rPr>
        <w:t>. Zde.</w:t>
      </w:r>
    </w:p>
    <w:p w:rsidR="00332C9D" w:rsidRPr="00046E3A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046E3A">
        <w:rPr>
          <w:sz w:val="20"/>
          <w:szCs w:val="20"/>
        </w:rPr>
        <w:t>Souběžně s písemným stanoviskem ANEC k formaldehydu ANEC vydal poziční dokument ohledně výskytu anilinu v hračkách. Anilin byl klasifikován s podezřením na karcinogen, tj. látku, která by neměla být přítomna v hračkách. Dokument se zabývá potřebou stanovení vhodného limitu pro anilin u hraček určených pro děti mladších než 36 měsíců a v jiných hračkách určených ke vkládání do úst, s přihlédnutím k právním předpisům pro styk látek s potravinami. Zprávy ukazují, že anilin byl nalezen v koncentracích až do 1200 mg / kg.</w:t>
      </w:r>
    </w:p>
    <w:p w:rsidR="00332C9D" w:rsidRDefault="00332C9D" w:rsidP="00332C9D">
      <w:pPr>
        <w:pStyle w:val="Odstavecseseznamem"/>
        <w:numPr>
          <w:ilvl w:val="1"/>
          <w:numId w:val="31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Hračky, herní prvky atp.</w:t>
      </w:r>
    </w:p>
    <w:p w:rsidR="00332C9D" w:rsidRPr="009937F6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>
        <w:rPr>
          <w:b/>
        </w:rPr>
        <w:t>Vyhodnocení směrnice pro bezpečnost hraček</w:t>
      </w:r>
    </w:p>
    <w:p w:rsidR="00332C9D" w:rsidRPr="007D7775" w:rsidRDefault="00332C9D" w:rsidP="00332C9D">
      <w:pPr>
        <w:spacing w:after="120"/>
        <w:ind w:right="-286"/>
        <w:jc w:val="both"/>
        <w:rPr>
          <w:sz w:val="20"/>
          <w:szCs w:val="20"/>
        </w:rPr>
      </w:pPr>
      <w:r>
        <w:t xml:space="preserve">Z aktivit 2016 - </w:t>
      </w:r>
      <w:r w:rsidRPr="007D7775">
        <w:rPr>
          <w:sz w:val="20"/>
          <w:szCs w:val="20"/>
        </w:rPr>
        <w:t xml:space="preserve">ANEC </w:t>
      </w:r>
      <w:r>
        <w:t xml:space="preserve">zpracoval připomínky k účinnosti směrnice - </w:t>
      </w:r>
      <w:r w:rsidRPr="007D7775">
        <w:rPr>
          <w:sz w:val="20"/>
          <w:szCs w:val="20"/>
        </w:rPr>
        <w:t>comments on evaluation report of the Toy Safety Directive, spolupráce na připomínkách. (vystaveno na webu)</w:t>
      </w:r>
      <w:r>
        <w:t xml:space="preserve">. </w:t>
      </w:r>
      <w:hyperlink r:id="rId11" w:history="1">
        <w:r w:rsidRPr="006A2BB1">
          <w:rPr>
            <w:rStyle w:val="Hypertextovodkaz"/>
          </w:rPr>
          <w:t>Zde</w:t>
        </w:r>
      </w:hyperlink>
      <w:r>
        <w:t>.</w:t>
      </w:r>
    </w:p>
    <w:p w:rsidR="00332C9D" w:rsidRPr="009937F6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9937F6">
        <w:rPr>
          <w:b/>
        </w:rPr>
        <w:t>Semináře zaměřené na bezpečnost dětských hřišť</w:t>
      </w:r>
    </w:p>
    <w:p w:rsidR="00332C9D" w:rsidRDefault="00332C9D" w:rsidP="00332C9D">
      <w:pPr>
        <w:spacing w:after="120"/>
        <w:ind w:right="-286"/>
        <w:jc w:val="both"/>
      </w:pPr>
      <w:r w:rsidRPr="009937F6">
        <w:lastRenderedPageBreak/>
        <w:t xml:space="preserve">V březnu a dubnu 2016 uspořádá Sdružení českých spotřebitelů s partnery v Konsorciu vlastníků značky pro bezpečné hřiště opět blok seminářů po České republice. Základním tématem je zajištění bezpečného provozu veřejných zařízení, která jsou určena dětem a mládeži a slouží pro pohybové a sportovní aktivity. Seminář je určen pro pracovníky samosprávy, státní správy a školství, statutární zástupce základních a mateřských škol aj. provozovatele veřejných zařízení pro hry a sport dětí a mládeže a další technickou veřejnost. Informace k tomuto tématu rovněž najdete na stánkách </w:t>
      </w:r>
      <w:hyperlink r:id="rId12" w:history="1">
        <w:r w:rsidRPr="009937F6">
          <w:rPr>
            <w:rStyle w:val="Hypertextovodkaz"/>
          </w:rPr>
          <w:t>www.overenehriste.cz</w:t>
        </w:r>
      </w:hyperlink>
      <w:r w:rsidRPr="009937F6">
        <w:t xml:space="preserve">. </w:t>
      </w:r>
    </w:p>
    <w:p w:rsidR="00332C9D" w:rsidRPr="006A2BB1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6A2BB1">
        <w:rPr>
          <w:b/>
        </w:rPr>
        <w:t xml:space="preserve">Z aktivit 2016 – </w:t>
      </w:r>
    </w:p>
    <w:p w:rsidR="00332C9D" w:rsidRPr="006A2BB1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6A2BB1">
        <w:rPr>
          <w:sz w:val="20"/>
          <w:szCs w:val="20"/>
        </w:rPr>
        <w:t>ANEC zpracoval připomínky k účinnosti směrnice - comments on evaluation report of the Toy Safety Directive, spolupráce na připomínkách - </w:t>
      </w:r>
      <w:hyperlink r:id="rId13" w:tooltip="32-c-ANEC-CHILD-2016-G-014.pdf" w:history="1">
        <w:r w:rsidRPr="006A2BB1">
          <w:rPr>
            <w:sz w:val="20"/>
            <w:szCs w:val="20"/>
          </w:rPr>
          <w:t>Zde</w:t>
        </w:r>
      </w:hyperlink>
      <w:r w:rsidRPr="006A2BB1">
        <w:rPr>
          <w:sz w:val="20"/>
          <w:szCs w:val="20"/>
        </w:rPr>
        <w:t>. Připomínky k chemickým limitům ve směrnici jsou vystaveny na stránce </w:t>
      </w:r>
      <w:hyperlink r:id="rId14" w:tooltip="http://www.top-normy.cz/temata-normalizace/30-normalizace-vyrobky/32-vyrobky-pro-deti/a-obecne-a-chemicka-rizika.php" w:history="1">
        <w:r w:rsidRPr="006A2BB1">
          <w:rPr>
            <w:sz w:val="20"/>
            <w:szCs w:val="20"/>
          </w:rPr>
          <w:t>Zde</w:t>
        </w:r>
      </w:hyperlink>
      <w:r w:rsidRPr="006A2BB1">
        <w:rPr>
          <w:sz w:val="20"/>
          <w:szCs w:val="20"/>
        </w:rPr>
        <w:t>, konkrétní text </w:t>
      </w:r>
      <w:hyperlink r:id="rId15" w:tooltip="http://www.top-normy.cz/users/files/temata-norm/30-vyrobky/32-c-ANEC-CHILD-2016-G-025.pdf" w:history="1">
        <w:r w:rsidRPr="006A2BB1">
          <w:rPr>
            <w:sz w:val="20"/>
            <w:szCs w:val="20"/>
          </w:rPr>
          <w:t>Zde</w:t>
        </w:r>
      </w:hyperlink>
      <w:r w:rsidRPr="006A2BB1">
        <w:rPr>
          <w:sz w:val="20"/>
          <w:szCs w:val="20"/>
        </w:rPr>
        <w:t>.</w:t>
      </w:r>
    </w:p>
    <w:p w:rsidR="00332C9D" w:rsidRPr="006A2BB1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6A2BB1">
        <w:rPr>
          <w:sz w:val="20"/>
          <w:szCs w:val="20"/>
        </w:rPr>
        <w:t>Sdružení českých spotřebitelů a Kabinet jsou aktivní ve vztahu k herním prvkům na hřištích a k jejich provozu, s důrazem na používání evropských norem. K tomu více </w:t>
      </w:r>
      <w:hyperlink r:id="rId16" w:tooltip="/www.overenehriste.cz/" w:history="1">
        <w:r w:rsidRPr="006A2BB1">
          <w:rPr>
            <w:sz w:val="20"/>
            <w:szCs w:val="20"/>
          </w:rPr>
          <w:t>www.overenehriste.cz/</w:t>
        </w:r>
      </w:hyperlink>
      <w:r w:rsidRPr="006A2BB1">
        <w:rPr>
          <w:sz w:val="20"/>
          <w:szCs w:val="20"/>
        </w:rPr>
        <w:t> (publikace, semináře, značka kvality).</w:t>
      </w:r>
    </w:p>
    <w:p w:rsidR="00332C9D" w:rsidRPr="006A2BB1" w:rsidRDefault="00332C9D" w:rsidP="00332C9D">
      <w:pPr>
        <w:spacing w:after="120"/>
        <w:ind w:right="-286" w:firstLine="360"/>
        <w:jc w:val="both"/>
      </w:pPr>
      <w:r w:rsidRPr="006A2BB1">
        <w:t>Proto SČS a Kabinet podporují tvorbu nových norem pro hřiště a sportoviště.</w:t>
      </w:r>
    </w:p>
    <w:p w:rsidR="00332C9D" w:rsidRPr="006A2BB1" w:rsidRDefault="00332C9D" w:rsidP="00332C9D">
      <w:pPr>
        <w:spacing w:after="120"/>
        <w:ind w:left="360" w:right="-286"/>
        <w:jc w:val="both"/>
      </w:pPr>
      <w:r w:rsidRPr="006A2BB1">
        <w:t>Nové normy pro domácí bazény - Spotřebitelé vítají přijetí tří nových norem pro domácí bazény. Tyto upravují jak obecné, tak specifické požadavky na nadzemní i podzemní bazény. Na jejich přípravě participovali spotřebitelé prostřednictvím ANEC. Odpovědný technický výbor – CEN/TC 402 vypracovává další normy pro domácí bazény, které ošetří požadavky na metody pro systém filtrování, cirkulační systém a zacházení s vodním systémem. ANEC podpoří přijetí těchto norem, aby prošly formálním hlasováním na národních úrovních.</w:t>
      </w:r>
    </w:p>
    <w:p w:rsidR="00332C9D" w:rsidRDefault="00332C9D" w:rsidP="00332C9D">
      <w:pPr>
        <w:pStyle w:val="Odstavecseseznamem"/>
        <w:numPr>
          <w:ilvl w:val="1"/>
          <w:numId w:val="31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Nábytek, zabezpečení před dětmi</w:t>
      </w:r>
    </w:p>
    <w:p w:rsidR="00332C9D" w:rsidRDefault="00332C9D" w:rsidP="00332C9D">
      <w:pPr>
        <w:spacing w:after="120"/>
        <w:ind w:left="360" w:right="-286"/>
        <w:jc w:val="both"/>
      </w:pPr>
      <w:r>
        <w:t>Bez zásadního vývoje.</w:t>
      </w:r>
    </w:p>
    <w:p w:rsidR="00332C9D" w:rsidRDefault="00332C9D" w:rsidP="00332C9D">
      <w:pPr>
        <w:pStyle w:val="Odstavecseseznamem"/>
        <w:numPr>
          <w:ilvl w:val="1"/>
          <w:numId w:val="31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Obuv, textil apod.</w:t>
      </w:r>
    </w:p>
    <w:p w:rsidR="00332C9D" w:rsidRPr="006A2BB1" w:rsidRDefault="00332C9D" w:rsidP="00332C9D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rFonts w:eastAsia="Calibri"/>
          <w:b/>
          <w:sz w:val="22"/>
          <w:szCs w:val="22"/>
          <w:lang w:eastAsia="en-US"/>
        </w:rPr>
      </w:pPr>
      <w:r w:rsidRPr="006A2BB1">
        <w:rPr>
          <w:rFonts w:eastAsia="Calibri"/>
          <w:b/>
          <w:sz w:val="22"/>
          <w:szCs w:val="22"/>
          <w:lang w:eastAsia="en-US"/>
        </w:rPr>
        <w:t xml:space="preserve">Dětská obuv </w:t>
      </w:r>
      <w:r>
        <w:rPr>
          <w:b/>
        </w:rPr>
        <w:t>–</w:t>
      </w:r>
      <w:r w:rsidRPr="006A2BB1">
        <w:rPr>
          <w:rFonts w:eastAsia="Calibri"/>
          <w:b/>
          <w:sz w:val="22"/>
          <w:szCs w:val="22"/>
          <w:lang w:eastAsia="en-US"/>
        </w:rPr>
        <w:t xml:space="preserve"> Konečně</w:t>
      </w:r>
      <w:r>
        <w:rPr>
          <w:b/>
        </w:rPr>
        <w:t>!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 w:rsidRPr="006A2BB1">
        <w:rPr>
          <w:rFonts w:eastAsia="Calibri"/>
          <w:b/>
          <w:sz w:val="22"/>
          <w:szCs w:val="22"/>
          <w:lang w:eastAsia="en-US"/>
        </w:rPr>
        <w:t>Zpráva z konce rokuu 2015</w:t>
      </w:r>
      <w:r w:rsidRPr="006A2BB1">
        <w:rPr>
          <w:b/>
          <w:bCs/>
          <w:sz w:val="20"/>
          <w:szCs w:val="20"/>
        </w:rPr>
        <w:t>!</w:t>
      </w:r>
      <w:r w:rsidRPr="006A2BB1">
        <w:rPr>
          <w:sz w:val="20"/>
          <w:szCs w:val="20"/>
        </w:rPr>
        <w:t> Evropská komise zařadila téma bezpečné (zdravotně nezávadné) dětské obuvi na agendu normalizace v rámci směrnice o obecné bezpečnosti výrobků.  Je tak završena mnohaletá etapa prosazování tohoto kroku, na národní i evropské úrovni. Nyní budou formulována zadání na konkrétní požadavky do mandátu EK pro CEN. Teprve tato etapa ukáže, zda dosavadní úsilí přinese výsledky v podobě široké škály bezpečnostních požadavků pro dětskou obuv včetně konstrukčních. Zástupce SČS/Kabinetu se bude na tvorbě bezpečnostních pravidel podílet (za ČR i za ANEC).</w:t>
      </w:r>
    </w:p>
    <w:p w:rsidR="00332C9D" w:rsidRPr="006A2BB1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Aktuální situace:</w:t>
      </w:r>
      <w:r>
        <w:rPr>
          <w:sz w:val="20"/>
          <w:szCs w:val="20"/>
        </w:rPr>
        <w:t xml:space="preserve"> EK vývoj mandátu bez vysvětlení pozastavila. SČS k tomu připravilo pro ANEC dopis pro EK (</w:t>
      </w:r>
      <w:hyperlink r:id="rId17" w:history="1">
        <w:r w:rsidRPr="00CC02AE">
          <w:rPr>
            <w:rStyle w:val="Hypertextovodkaz"/>
            <w:sz w:val="20"/>
            <w:szCs w:val="20"/>
          </w:rPr>
          <w:t>ZDE</w:t>
        </w:r>
      </w:hyperlink>
      <w:r>
        <w:rPr>
          <w:sz w:val="20"/>
          <w:szCs w:val="20"/>
        </w:rPr>
        <w:t>). Podobný dopis potom adresovalo EK také Česká obuvnická a kožedělná asociace (</w:t>
      </w:r>
      <w:hyperlink r:id="rId18" w:history="1">
        <w:r w:rsidRPr="00CC02AE">
          <w:rPr>
            <w:rStyle w:val="Hypertextovodkaz"/>
            <w:sz w:val="20"/>
            <w:szCs w:val="20"/>
          </w:rPr>
          <w:t>ZDE</w:t>
        </w:r>
      </w:hyperlink>
      <w:r>
        <w:rPr>
          <w:sz w:val="20"/>
          <w:szCs w:val="20"/>
        </w:rPr>
        <w:t>)</w:t>
      </w:r>
    </w:p>
    <w:p w:rsidR="00332C9D" w:rsidRDefault="00332C9D" w:rsidP="00332C9D">
      <w:pPr>
        <w:pStyle w:val="Odstavecseseznamem"/>
        <w:numPr>
          <w:ilvl w:val="1"/>
          <w:numId w:val="31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Různé ostatní</w:t>
      </w:r>
    </w:p>
    <w:p w:rsidR="00332C9D" w:rsidRPr="006E5A31" w:rsidRDefault="00332C9D" w:rsidP="00332C9D">
      <w:pPr>
        <w:spacing w:after="120"/>
        <w:ind w:right="-286"/>
        <w:jc w:val="both"/>
        <w:rPr>
          <w:b/>
        </w:rPr>
      </w:pPr>
      <w:r w:rsidRPr="00D7299C">
        <w:rPr>
          <w:b/>
        </w:rPr>
        <w:t>Témata normalizační práce – příklady výstupů</w:t>
      </w:r>
      <w:r>
        <w:rPr>
          <w:b/>
        </w:rPr>
        <w:t xml:space="preserve"> zapojení spotřebitelů (32)</w:t>
      </w:r>
      <w:r w:rsidRPr="006E5A31">
        <w:rPr>
          <w:b/>
        </w:rPr>
        <w:t>:</w:t>
      </w:r>
    </w:p>
    <w:p w:rsidR="00332C9D" w:rsidRPr="006E5A31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6E5A31">
        <w:rPr>
          <w:sz w:val="20"/>
          <w:szCs w:val="20"/>
        </w:rPr>
        <w:t>Aktivity podporovaly následující evropské politiky a právní předpisy: Roční Program Evropské unie pro evropskou normalizaci; Směrnice 2001/95 / ES o obecné bezpečnosti výrobků; 2009/48 / ES o bezpečnosti hraček; Program EU pro spotřebitele 2020 (cíle: zlepšení bezpečnosti spotřebitelů; zlepšování provádění; posílení prosazování a zajištění nápravy); Consumer Programme 2014-2020 (cíl: Bezpečnost - zvýšení bezpečnosti prostřednictvím účinného dozoru nad trhem v EU).</w:t>
      </w:r>
    </w:p>
    <w:p w:rsidR="00332C9D" w:rsidRDefault="00332C9D" w:rsidP="00332C9D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6E5A31">
        <w:rPr>
          <w:sz w:val="20"/>
          <w:szCs w:val="20"/>
        </w:rPr>
        <w:t>Popis prací</w:t>
      </w:r>
      <w:r>
        <w:rPr>
          <w:sz w:val="20"/>
          <w:szCs w:val="20"/>
        </w:rPr>
        <w:t xml:space="preserve"> (příklady)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>Projekt EU o sběru antropometrických datech ve vztahu k dětem; spolupráce s ANEC.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>Domestic Spas and hot tubes and tests metohds, CEN TC 402, WI 99402008, návrh pracovního dokumantu, spolupráce s ANEC.</w:t>
      </w:r>
    </w:p>
    <w:p w:rsidR="00332C9D" w:rsidRPr="007D7775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7D7775">
        <w:rPr>
          <w:sz w:val="20"/>
          <w:szCs w:val="20"/>
        </w:rPr>
        <w:lastRenderedPageBreak/>
        <w:t>Posiční dokument ANEC Formaldehyd, návrh požadavků do směrnice pro bezpečnost hraček (vystav</w:t>
      </w:r>
      <w:r>
        <w:rPr>
          <w:sz w:val="20"/>
          <w:szCs w:val="20"/>
        </w:rPr>
        <w:t>eno</w:t>
      </w:r>
      <w:r w:rsidRPr="007D7775">
        <w:rPr>
          <w:sz w:val="20"/>
          <w:szCs w:val="20"/>
        </w:rPr>
        <w:t xml:space="preserve"> na web i s prezentací </w:t>
      </w:r>
      <w:r>
        <w:rPr>
          <w:sz w:val="20"/>
          <w:szCs w:val="20"/>
        </w:rPr>
        <w:t xml:space="preserve">F. </w:t>
      </w:r>
      <w:r w:rsidRPr="007D7775">
        <w:rPr>
          <w:sz w:val="20"/>
          <w:szCs w:val="20"/>
        </w:rPr>
        <w:t>Fialy)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E7E36">
        <w:rPr>
          <w:sz w:val="20"/>
          <w:szCs w:val="20"/>
        </w:rPr>
        <w:t xml:space="preserve">Draft </w:t>
      </w:r>
      <w:r>
        <w:rPr>
          <w:sz w:val="20"/>
          <w:szCs w:val="20"/>
        </w:rPr>
        <w:t>ANEC comments on prEN 1888-1 výrobky pro péči o děti, spolupráce na připomínkách.</w:t>
      </w:r>
    </w:p>
    <w:p w:rsidR="00332C9D" w:rsidRPr="007D7775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E7E36">
        <w:rPr>
          <w:sz w:val="20"/>
          <w:szCs w:val="20"/>
        </w:rPr>
        <w:t>ANEC comments on evaluation report of the Toy Safety Directive</w:t>
      </w:r>
      <w:r>
        <w:rPr>
          <w:sz w:val="20"/>
          <w:szCs w:val="20"/>
        </w:rPr>
        <w:t>, spolupráce na připomínkách</w:t>
      </w:r>
      <w:r w:rsidRPr="007D7775">
        <w:rPr>
          <w:sz w:val="20"/>
          <w:szCs w:val="20"/>
        </w:rPr>
        <w:t>. (vystaveno na webu)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Draft comments on ISO 8124-1:2014 DAmd 3 ‘Safety of toys - Part 1: Safety aspects related to mechanical and physical properties’, draft amendment 3: Warnings and fibrous filling material,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EN 71-1:2014/prA1:2016 ‘Safety of toys – Part 1: Mechanical and physical properties’, draft amendment on cords on toys,</w:t>
      </w:r>
      <w:r>
        <w:rPr>
          <w:sz w:val="20"/>
          <w:szCs w:val="20"/>
        </w:rPr>
        <w:t xml:space="preserve"> spolupráce na připomínkách</w:t>
      </w:r>
    </w:p>
    <w:p w:rsidR="00332C9D" w:rsidRPr="004A289B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FprEN 1176-2 ‘Playground equipment and surfacing - Part 2: Additional specific safety requirements and test methods for swings’</w:t>
      </w:r>
      <w:r>
        <w:rPr>
          <w:sz w:val="20"/>
          <w:szCs w:val="20"/>
        </w:rPr>
        <w:t>, spolupráce na připomínkách</w:t>
      </w:r>
    </w:p>
    <w:p w:rsidR="00332C9D" w:rsidRPr="004A289B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Fpr EN 1176-3 ‘Playground equipment and surfacing - Part 3: Additional specific safety requiremen</w:t>
      </w:r>
      <w:r>
        <w:rPr>
          <w:sz w:val="20"/>
          <w:szCs w:val="20"/>
        </w:rPr>
        <w:t>ts and test methods for slides’, spolupráce na připomínkách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FprEN 62115 and to IEC 62115/Ed2 ‘Electric toys – Safety’</w:t>
      </w:r>
      <w:r>
        <w:rPr>
          <w:sz w:val="20"/>
          <w:szCs w:val="20"/>
        </w:rPr>
        <w:t>, přijaty připomíánky pro přístup k bateriím, na požadavek ANEC provedeno lobby u ÚNMZ pro kladné hlasování;</w:t>
      </w:r>
    </w:p>
    <w:p w:rsidR="00332C9D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ANEC comments on prEN 13814-1  "Safety of amusement rides and amusement devices - Part 1: Design and manufacture"</w:t>
      </w:r>
      <w:r>
        <w:rPr>
          <w:sz w:val="20"/>
          <w:szCs w:val="20"/>
        </w:rPr>
        <w:t>, spolupráce na připomínkách;</w:t>
      </w:r>
    </w:p>
    <w:p w:rsidR="00332C9D" w:rsidRPr="00A872DE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872DE">
        <w:rPr>
          <w:sz w:val="20"/>
          <w:szCs w:val="20"/>
        </w:rPr>
        <w:t>OECD global campaign on child safety, which will focus t</w:t>
      </w:r>
      <w:r>
        <w:rPr>
          <w:sz w:val="20"/>
          <w:szCs w:val="20"/>
        </w:rPr>
        <w:t xml:space="preserve">his year on window blind cords, </w:t>
      </w:r>
      <w:r w:rsidRPr="00A872DE">
        <w:rPr>
          <w:sz w:val="20"/>
          <w:szCs w:val="20"/>
        </w:rPr>
        <w:t>ANEC press release (ANEC-PR-2016-PRL-006)</w:t>
      </w:r>
      <w:r>
        <w:rPr>
          <w:sz w:val="20"/>
          <w:szCs w:val="20"/>
        </w:rPr>
        <w:t>SČS využije v ve 2. ploletí).</w:t>
      </w:r>
    </w:p>
    <w:p w:rsidR="00332C9D" w:rsidRPr="00A872DE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872DE">
        <w:rPr>
          <w:sz w:val="20"/>
          <w:szCs w:val="20"/>
        </w:rPr>
        <w:t>prEN 1272  Child care articles - Table mounted chairs - Safety requirements and test methods</w:t>
      </w:r>
      <w:r>
        <w:rPr>
          <w:sz w:val="20"/>
          <w:szCs w:val="20"/>
        </w:rPr>
        <w:t>,</w:t>
      </w:r>
      <w:r w:rsidRPr="00A872DE">
        <w:rPr>
          <w:sz w:val="20"/>
          <w:szCs w:val="20"/>
        </w:rPr>
        <w:t xml:space="preserve"> </w:t>
      </w:r>
      <w:r>
        <w:rPr>
          <w:sz w:val="20"/>
          <w:szCs w:val="20"/>
        </w:rPr>
        <w:t>spolupráce na připomínkách;</w:t>
      </w:r>
    </w:p>
    <w:p w:rsidR="00332C9D" w:rsidRPr="00A872DE" w:rsidRDefault="00332C9D" w:rsidP="00332C9D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872DE">
        <w:rPr>
          <w:sz w:val="20"/>
          <w:szCs w:val="20"/>
        </w:rPr>
        <w:t>prEN 16779-1 ‘Textile child care articles – Safety requirements and test methods for children’s cot duvets – Part 1: Duvet (excluding duvet covers)’, 2)   prEN 16780 ‘Textile child care articles – Safety requirements and test methods for children´s cot bumpers’, 3)   prEN 16781 ‘Textile child care articles – Safety requirements and test methods for children’s sleep bags’</w:t>
      </w:r>
      <w:r>
        <w:rPr>
          <w:sz w:val="20"/>
          <w:szCs w:val="20"/>
        </w:rPr>
        <w:t xml:space="preserve"> - spolupráce na připomínkách.</w:t>
      </w:r>
    </w:p>
    <w:p w:rsidR="00CA44E5" w:rsidRPr="006C2F6F" w:rsidRDefault="00CA44E5" w:rsidP="00631BCE">
      <w:pPr>
        <w:pStyle w:val="Odstavecseseznamem"/>
        <w:spacing w:after="120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C62AAE" w:rsidRPr="0056567E" w:rsidRDefault="009C0105" w:rsidP="00631BCE">
      <w:pPr>
        <w:pStyle w:val="Odstavecseseznamem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Červen</w:t>
      </w:r>
      <w:r w:rsidR="00631BCE" w:rsidRPr="0056567E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631BCE" w:rsidRPr="0056567E">
        <w:rPr>
          <w:sz w:val="22"/>
          <w:szCs w:val="22"/>
        </w:rPr>
        <w:t>, Dupal</w:t>
      </w:r>
      <w:r w:rsidR="00BB07A6" w:rsidRPr="0056567E">
        <w:rPr>
          <w:sz w:val="22"/>
          <w:szCs w:val="22"/>
        </w:rPr>
        <w:tab/>
      </w:r>
    </w:p>
    <w:sectPr w:rsidR="00C62AAE" w:rsidRPr="0056567E" w:rsidSect="00CA4A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2C" w:rsidRDefault="0023422C">
      <w:r>
        <w:separator/>
      </w:r>
    </w:p>
  </w:endnote>
  <w:endnote w:type="continuationSeparator" w:id="0">
    <w:p w:rsidR="0023422C" w:rsidRDefault="002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C9D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23422C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2C" w:rsidRDefault="0023422C">
      <w:r>
        <w:separator/>
      </w:r>
    </w:p>
  </w:footnote>
  <w:footnote w:type="continuationSeparator" w:id="0">
    <w:p w:rsidR="0023422C" w:rsidRDefault="0023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95506"/>
    <w:multiLevelType w:val="hybridMultilevel"/>
    <w:tmpl w:val="199854D2"/>
    <w:lvl w:ilvl="0" w:tplc="283CCA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2DB8"/>
    <w:multiLevelType w:val="multilevel"/>
    <w:tmpl w:val="363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1D05EE"/>
    <w:multiLevelType w:val="hybridMultilevel"/>
    <w:tmpl w:val="67A2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4"/>
  </w:num>
  <w:num w:numId="5">
    <w:abstractNumId w:val="23"/>
  </w:num>
  <w:num w:numId="6">
    <w:abstractNumId w:val="19"/>
  </w:num>
  <w:num w:numId="7">
    <w:abstractNumId w:val="9"/>
  </w:num>
  <w:num w:numId="8">
    <w:abstractNumId w:val="32"/>
  </w:num>
  <w:num w:numId="9">
    <w:abstractNumId w:val="30"/>
  </w:num>
  <w:num w:numId="10">
    <w:abstractNumId w:val="5"/>
  </w:num>
  <w:num w:numId="11">
    <w:abstractNumId w:val="22"/>
  </w:num>
  <w:num w:numId="12">
    <w:abstractNumId w:val="18"/>
  </w:num>
  <w:num w:numId="13">
    <w:abstractNumId w:val="26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29"/>
  </w:num>
  <w:num w:numId="19">
    <w:abstractNumId w:val="24"/>
  </w:num>
  <w:num w:numId="20">
    <w:abstractNumId w:val="10"/>
  </w:num>
  <w:num w:numId="21">
    <w:abstractNumId w:val="13"/>
  </w:num>
  <w:num w:numId="22">
    <w:abstractNumId w:val="25"/>
  </w:num>
  <w:num w:numId="23">
    <w:abstractNumId w:val="21"/>
  </w:num>
  <w:num w:numId="24">
    <w:abstractNumId w:val="31"/>
  </w:num>
  <w:num w:numId="25">
    <w:abstractNumId w:val="3"/>
  </w:num>
  <w:num w:numId="26">
    <w:abstractNumId w:val="7"/>
  </w:num>
  <w:num w:numId="27">
    <w:abstractNumId w:val="27"/>
  </w:num>
  <w:num w:numId="28">
    <w:abstractNumId w:val="16"/>
  </w:num>
  <w:num w:numId="29">
    <w:abstractNumId w:val="17"/>
  </w:num>
  <w:num w:numId="30">
    <w:abstractNumId w:val="28"/>
  </w:num>
  <w:num w:numId="31">
    <w:abstractNumId w:val="11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A20B8"/>
    <w:rsid w:val="001B0E0F"/>
    <w:rsid w:val="001D1BC9"/>
    <w:rsid w:val="0023422C"/>
    <w:rsid w:val="00250C93"/>
    <w:rsid w:val="00277C59"/>
    <w:rsid w:val="00280435"/>
    <w:rsid w:val="002C3C7F"/>
    <w:rsid w:val="002D094E"/>
    <w:rsid w:val="00326DCA"/>
    <w:rsid w:val="00332C9D"/>
    <w:rsid w:val="0033327E"/>
    <w:rsid w:val="00333B8E"/>
    <w:rsid w:val="00343356"/>
    <w:rsid w:val="00363535"/>
    <w:rsid w:val="003656D0"/>
    <w:rsid w:val="003A7D01"/>
    <w:rsid w:val="004179B6"/>
    <w:rsid w:val="00491EFD"/>
    <w:rsid w:val="004C7619"/>
    <w:rsid w:val="00503D33"/>
    <w:rsid w:val="005332C0"/>
    <w:rsid w:val="00544A87"/>
    <w:rsid w:val="0056567E"/>
    <w:rsid w:val="0057396D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6C2F6F"/>
    <w:rsid w:val="00706345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0105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34A97"/>
    <w:rsid w:val="00BB07A6"/>
    <w:rsid w:val="00BD395C"/>
    <w:rsid w:val="00BE61FF"/>
    <w:rsid w:val="00BF5462"/>
    <w:rsid w:val="00C02D2C"/>
    <w:rsid w:val="00C1067B"/>
    <w:rsid w:val="00C22D18"/>
    <w:rsid w:val="00C62AAE"/>
    <w:rsid w:val="00C74594"/>
    <w:rsid w:val="00C779CB"/>
    <w:rsid w:val="00CA44E5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p-normy.cz/users/files/temata-norm/30-vyrobky/32-c-ANEC-CHILD-2016-G-014.pdf" TargetMode="External"/><Relationship Id="rId18" Type="http://schemas.openxmlformats.org/officeDocument/2006/relationships/hyperlink" Target="http://www.top-normy.cz/users/files/temata-norm/30-vyrobky/32-d-EUROPEAN_STANDARD_COMPLAINT_CFLA_CZECH_REPUBLIC_20.4.2016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verenehriste.cz" TargetMode="External"/><Relationship Id="rId17" Type="http://schemas.openxmlformats.org/officeDocument/2006/relationships/hyperlink" Target="http://www.top-normy.cz/users/files/temata-norm/30-vyrobky/32-d-ANEC-CHILD-2016-G-03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verenehriste.cz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-normy.cz/users/files/temata-norm/30-vyrobky/32-c-ANEC-CHILD-2016-G-014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op-normy.cz/users/files/temata-norm/30-vyrobky/32-c-ANEC-CHILD-2016-G-025.pd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F:\_archive_ag_du_new_recon\_SCS\Clan_stran_koncepce\PublicRelations\News%20letters\2016\SAMNIC%20MOOC%2003%20eng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nicmooc.com" TargetMode="External"/><Relationship Id="rId14" Type="http://schemas.openxmlformats.org/officeDocument/2006/relationships/hyperlink" Target="http://www.top-normy.cz/temata-normalizace/30-normalizace-vyrobky/32-vyrobky-pro-deti/a-obecne-a-chemicka-rizika.php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9150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2016-08-05T07:37:00Z</dcterms:created>
  <dcterms:modified xsi:type="dcterms:W3CDTF">2016-08-05T09:02:00Z</dcterms:modified>
</cp:coreProperties>
</file>