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BB" w:rsidRPr="000B397E" w:rsidRDefault="00812B61" w:rsidP="000B397E">
      <w:pPr>
        <w:spacing w:after="120"/>
        <w:jc w:val="both"/>
        <w:rPr>
          <w:sz w:val="22"/>
          <w:szCs w:val="22"/>
        </w:rPr>
      </w:pPr>
      <w:r w:rsidRPr="000B397E">
        <w:rPr>
          <w:sz w:val="22"/>
          <w:szCs w:val="22"/>
        </w:rPr>
        <w:t>30 Normalizace výrobky</w:t>
      </w:r>
    </w:p>
    <w:p w:rsidR="00A8392D" w:rsidRPr="000B397E" w:rsidRDefault="00812B61" w:rsidP="000B397E">
      <w:pPr>
        <w:spacing w:after="120"/>
        <w:jc w:val="both"/>
        <w:rPr>
          <w:sz w:val="22"/>
          <w:szCs w:val="22"/>
        </w:rPr>
      </w:pPr>
      <w:r w:rsidRPr="000B397E">
        <w:rPr>
          <w:sz w:val="22"/>
          <w:szCs w:val="22"/>
        </w:rPr>
        <w:t>33 Domácí spotřebiče</w:t>
      </w:r>
    </w:p>
    <w:p w:rsidR="00A8392D" w:rsidRPr="000B397E" w:rsidRDefault="00A8392D" w:rsidP="000B397E">
      <w:pPr>
        <w:spacing w:after="120"/>
        <w:jc w:val="both"/>
        <w:rPr>
          <w:sz w:val="22"/>
          <w:szCs w:val="22"/>
        </w:rPr>
      </w:pPr>
      <w:r w:rsidRPr="000B397E">
        <w:rPr>
          <w:sz w:val="22"/>
          <w:szCs w:val="22"/>
        </w:rPr>
        <w:t>Vývoj v roce 201</w:t>
      </w:r>
      <w:r w:rsidR="00F36260">
        <w:rPr>
          <w:sz w:val="22"/>
          <w:szCs w:val="22"/>
        </w:rPr>
        <w:t>6</w:t>
      </w:r>
      <w:r w:rsidRPr="000B397E">
        <w:rPr>
          <w:sz w:val="22"/>
          <w:szCs w:val="22"/>
        </w:rPr>
        <w:t xml:space="preserve"> (zpracováno s podporou projektu FP švýcarsko-české spolupráce</w:t>
      </w:r>
      <w:r w:rsidR="00631BCE" w:rsidRPr="000B397E">
        <w:rPr>
          <w:sz w:val="22"/>
          <w:szCs w:val="22"/>
        </w:rPr>
        <w:t>)</w:t>
      </w:r>
    </w:p>
    <w:p w:rsidR="00A8392D" w:rsidRPr="000B397E" w:rsidRDefault="00A8392D" w:rsidP="000B397E">
      <w:pPr>
        <w:spacing w:after="120"/>
        <w:jc w:val="both"/>
        <w:rPr>
          <w:sz w:val="22"/>
          <w:szCs w:val="22"/>
        </w:rPr>
      </w:pPr>
      <w:r w:rsidRPr="000B397E">
        <w:rPr>
          <w:noProof/>
          <w:sz w:val="22"/>
          <w:szCs w:val="22"/>
        </w:rPr>
        <w:drawing>
          <wp:inline distT="0" distB="0" distL="0" distR="0" wp14:anchorId="62D972D1" wp14:editId="4B16B0E3">
            <wp:extent cx="1444448" cy="516368"/>
            <wp:effectExtent l="0" t="0" r="3810" b="0"/>
            <wp:docPr id="27652" name="obrázek 1" descr="SWISS_Cntrb_LO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obrázek 1" descr="SWISS_Cntrb_LOGO_MO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686" cy="519670"/>
                    </a:xfrm>
                    <a:prstGeom prst="rect">
                      <a:avLst/>
                    </a:prstGeom>
                    <a:noFill/>
                    <a:ln>
                      <a:noFill/>
                    </a:ln>
                    <a:extLst/>
                  </pic:spPr>
                </pic:pic>
              </a:graphicData>
            </a:graphic>
          </wp:inline>
        </w:drawing>
      </w:r>
    </w:p>
    <w:p w:rsidR="000B397E" w:rsidRPr="000B397E" w:rsidRDefault="00812B61" w:rsidP="004C100B">
      <w:pPr>
        <w:spacing w:after="120"/>
        <w:jc w:val="both"/>
        <w:rPr>
          <w:b/>
          <w:sz w:val="22"/>
          <w:szCs w:val="22"/>
        </w:rPr>
      </w:pPr>
      <w:r w:rsidRPr="000B397E">
        <w:rPr>
          <w:b/>
          <w:sz w:val="22"/>
          <w:szCs w:val="22"/>
        </w:rPr>
        <w:t>Souhrn, příklady výstupů zapojení</w:t>
      </w:r>
      <w:r w:rsidR="004C100B">
        <w:rPr>
          <w:b/>
          <w:sz w:val="22"/>
          <w:szCs w:val="22"/>
        </w:rPr>
        <w:t xml:space="preserve"> - </w:t>
      </w:r>
      <w:r w:rsidR="000B397E" w:rsidRPr="000B397E">
        <w:rPr>
          <w:b/>
          <w:sz w:val="22"/>
          <w:szCs w:val="22"/>
        </w:rPr>
        <w:t>Zpráva o technické normalizaci</w:t>
      </w:r>
    </w:p>
    <w:p w:rsidR="00F36260" w:rsidRPr="00E12E31" w:rsidRDefault="00F36260" w:rsidP="00F36260">
      <w:pPr>
        <w:tabs>
          <w:tab w:val="num" w:pos="360"/>
          <w:tab w:val="num" w:pos="540"/>
        </w:tabs>
        <w:spacing w:after="120"/>
        <w:ind w:left="142" w:right="-286"/>
        <w:jc w:val="both"/>
        <w:rPr>
          <w:b/>
        </w:rPr>
      </w:pPr>
      <w:r w:rsidRPr="00E12E31">
        <w:rPr>
          <w:b/>
        </w:rPr>
        <w:t>Zpráva o technické normalizaci</w:t>
      </w:r>
    </w:p>
    <w:p w:rsidR="00F36260" w:rsidRPr="00E12E31" w:rsidRDefault="00F36260" w:rsidP="00F36260">
      <w:pPr>
        <w:tabs>
          <w:tab w:val="num" w:pos="360"/>
          <w:tab w:val="num" w:pos="540"/>
        </w:tabs>
        <w:spacing w:after="120"/>
        <w:ind w:left="142" w:right="-286"/>
        <w:jc w:val="both"/>
      </w:pPr>
      <w:r w:rsidRPr="00E12E31">
        <w:t>Sek</w:t>
      </w:r>
      <w:r>
        <w:t>tor, oblast:  Domácí spotřebiče</w:t>
      </w:r>
    </w:p>
    <w:p w:rsidR="00F36260" w:rsidRPr="00E12E31" w:rsidRDefault="00F36260" w:rsidP="00F36260">
      <w:pPr>
        <w:tabs>
          <w:tab w:val="num" w:pos="360"/>
          <w:tab w:val="num" w:pos="540"/>
        </w:tabs>
        <w:spacing w:after="120"/>
        <w:ind w:left="142" w:right="-286"/>
        <w:jc w:val="both"/>
      </w:pPr>
      <w:r w:rsidRPr="00E12E31">
        <w:t xml:space="preserve">Období - Říjen 2015 – květen 2016 </w:t>
      </w:r>
    </w:p>
    <w:p w:rsidR="00F36260" w:rsidRPr="00E12E31" w:rsidRDefault="00F36260" w:rsidP="00F36260">
      <w:pPr>
        <w:tabs>
          <w:tab w:val="num" w:pos="360"/>
          <w:tab w:val="num" w:pos="540"/>
        </w:tabs>
        <w:spacing w:after="120"/>
        <w:ind w:left="142" w:right="-286"/>
        <w:jc w:val="both"/>
      </w:pPr>
      <w:r w:rsidRPr="00E12E31">
        <w:t>Expert:</w:t>
      </w:r>
      <w:r w:rsidRPr="00E12E31">
        <w:tab/>
        <w:t>Ing. Marie Živcová</w:t>
      </w:r>
    </w:p>
    <w:p w:rsidR="00F36260" w:rsidRPr="00E12E31" w:rsidRDefault="00F36260" w:rsidP="00F36260">
      <w:pPr>
        <w:tabs>
          <w:tab w:val="num" w:pos="360"/>
          <w:tab w:val="num" w:pos="540"/>
        </w:tabs>
        <w:spacing w:after="120"/>
        <w:ind w:left="142" w:right="-286"/>
        <w:jc w:val="both"/>
      </w:pPr>
    </w:p>
    <w:p w:rsidR="00F36260" w:rsidRPr="00E12E31" w:rsidRDefault="00F36260" w:rsidP="00F36260">
      <w:pPr>
        <w:pStyle w:val="Odstavecseseznamem"/>
        <w:numPr>
          <w:ilvl w:val="0"/>
          <w:numId w:val="32"/>
        </w:numPr>
        <w:tabs>
          <w:tab w:val="num" w:pos="360"/>
          <w:tab w:val="num" w:pos="540"/>
        </w:tabs>
        <w:spacing w:after="120"/>
        <w:ind w:left="142" w:right="-286" w:firstLine="0"/>
        <w:jc w:val="both"/>
        <w:rPr>
          <w:b/>
          <w:sz w:val="20"/>
          <w:szCs w:val="20"/>
        </w:rPr>
      </w:pPr>
      <w:r w:rsidRPr="00E12E31">
        <w:rPr>
          <w:b/>
          <w:sz w:val="20"/>
          <w:szCs w:val="20"/>
        </w:rPr>
        <w:t>Přehled normalizačních témat</w:t>
      </w:r>
    </w:p>
    <w:p w:rsidR="00F36260" w:rsidRPr="00E12E31" w:rsidRDefault="00F36260" w:rsidP="00F36260">
      <w:pPr>
        <w:pStyle w:val="Odstavecseseznamem"/>
        <w:numPr>
          <w:ilvl w:val="0"/>
          <w:numId w:val="33"/>
        </w:numPr>
        <w:spacing w:after="120"/>
        <w:ind w:left="851" w:right="-286" w:hanging="425"/>
        <w:jc w:val="both"/>
        <w:rPr>
          <w:sz w:val="20"/>
          <w:szCs w:val="20"/>
        </w:rPr>
      </w:pPr>
      <w:r w:rsidRPr="00E12E31">
        <w:rPr>
          <w:sz w:val="20"/>
          <w:szCs w:val="20"/>
        </w:rPr>
        <w:t xml:space="preserve">ANEC  - WG DOMAP – spolupráce SČS v návrhu stanovisek ANEC k evropským normám pro domácí spotřebiče a obecným tématům např. </w:t>
      </w:r>
      <w:proofErr w:type="spellStart"/>
      <w:r w:rsidRPr="00E12E31">
        <w:rPr>
          <w:sz w:val="20"/>
          <w:szCs w:val="20"/>
        </w:rPr>
        <w:t>ekodesign</w:t>
      </w:r>
      <w:proofErr w:type="spellEnd"/>
      <w:r w:rsidRPr="00E12E31">
        <w:rPr>
          <w:sz w:val="20"/>
          <w:szCs w:val="20"/>
        </w:rPr>
        <w:t>, deklarace materiálů zařízení</w:t>
      </w:r>
    </w:p>
    <w:p w:rsidR="00F36260" w:rsidRPr="00E12E31" w:rsidRDefault="00F36260" w:rsidP="00F36260">
      <w:pPr>
        <w:pStyle w:val="Odstavecseseznamem"/>
        <w:numPr>
          <w:ilvl w:val="0"/>
          <w:numId w:val="33"/>
        </w:numPr>
        <w:spacing w:after="120"/>
        <w:ind w:left="851" w:right="-286" w:hanging="425"/>
        <w:jc w:val="both"/>
        <w:rPr>
          <w:sz w:val="20"/>
          <w:szCs w:val="20"/>
        </w:rPr>
      </w:pPr>
      <w:r w:rsidRPr="00E12E31">
        <w:rPr>
          <w:sz w:val="20"/>
          <w:szCs w:val="20"/>
        </w:rPr>
        <w:t>Práce v Technických normalizačních komisích  ÚNMZ, koordinace se zájmy spotřebitelů při tvorbě technických norem</w:t>
      </w:r>
    </w:p>
    <w:p w:rsidR="00F36260" w:rsidRPr="00E12E31" w:rsidRDefault="00F36260" w:rsidP="00F36260">
      <w:pPr>
        <w:pStyle w:val="Odstavecseseznamem"/>
        <w:numPr>
          <w:ilvl w:val="0"/>
          <w:numId w:val="32"/>
        </w:numPr>
        <w:tabs>
          <w:tab w:val="num" w:pos="360"/>
          <w:tab w:val="num" w:pos="540"/>
        </w:tabs>
        <w:spacing w:after="120"/>
        <w:ind w:left="142" w:right="-286" w:firstLine="0"/>
        <w:jc w:val="both"/>
        <w:rPr>
          <w:b/>
          <w:sz w:val="20"/>
          <w:szCs w:val="20"/>
        </w:rPr>
      </w:pPr>
      <w:r w:rsidRPr="00E12E31">
        <w:rPr>
          <w:b/>
          <w:sz w:val="20"/>
          <w:szCs w:val="20"/>
        </w:rPr>
        <w:t>Hodnocení zapojení spotřebitelů (obvykle doplní SČS/</w:t>
      </w:r>
      <w:proofErr w:type="spellStart"/>
      <w:r w:rsidRPr="00E12E31">
        <w:rPr>
          <w:b/>
          <w:sz w:val="20"/>
          <w:szCs w:val="20"/>
        </w:rPr>
        <w:t>KaStan</w:t>
      </w:r>
      <w:proofErr w:type="spellEnd"/>
      <w:r w:rsidRPr="00E12E31">
        <w:rPr>
          <w:b/>
          <w:sz w:val="20"/>
          <w:szCs w:val="20"/>
        </w:rPr>
        <w:t>)</w:t>
      </w:r>
    </w:p>
    <w:p w:rsidR="00F36260" w:rsidRPr="00E12E31" w:rsidRDefault="00F36260" w:rsidP="00F36260">
      <w:pPr>
        <w:pStyle w:val="Odstavecseseznamem"/>
        <w:spacing w:after="120"/>
        <w:ind w:left="142" w:right="-286"/>
        <w:jc w:val="both"/>
        <w:rPr>
          <w:i/>
          <w:sz w:val="20"/>
          <w:szCs w:val="20"/>
        </w:rPr>
      </w:pPr>
      <w:r w:rsidRPr="00E12E31">
        <w:rPr>
          <w:i/>
          <w:sz w:val="20"/>
          <w:szCs w:val="20"/>
        </w:rPr>
        <w:t>(Zde se stručně vypíše, jakou formou zapojení probíhalo. Obvykle prostřednictvím ANEC . Pokud existuje přibližná statistika, kolik stanovisek zpracovávaly SČS/Kabinet – uvede se zde)</w:t>
      </w:r>
    </w:p>
    <w:p w:rsidR="00F36260" w:rsidRPr="00E12E31" w:rsidRDefault="00F36260" w:rsidP="00F36260">
      <w:pPr>
        <w:pStyle w:val="Odstavecseseznamem"/>
        <w:spacing w:after="120"/>
        <w:ind w:left="142" w:right="-286"/>
        <w:jc w:val="both"/>
        <w:rPr>
          <w:sz w:val="20"/>
          <w:szCs w:val="20"/>
        </w:rPr>
      </w:pPr>
      <w:r w:rsidRPr="00E12E31">
        <w:rPr>
          <w:sz w:val="20"/>
          <w:szCs w:val="20"/>
        </w:rPr>
        <w:t>ANEC, ÚNMZ</w:t>
      </w:r>
    </w:p>
    <w:p w:rsidR="00F36260" w:rsidRPr="00E12E31" w:rsidRDefault="00F36260" w:rsidP="00F36260">
      <w:pPr>
        <w:pStyle w:val="Odstavecseseznamem"/>
        <w:numPr>
          <w:ilvl w:val="0"/>
          <w:numId w:val="34"/>
        </w:numPr>
        <w:spacing w:after="120"/>
        <w:ind w:left="142" w:right="-286" w:firstLine="0"/>
        <w:jc w:val="both"/>
        <w:rPr>
          <w:b/>
          <w:sz w:val="20"/>
          <w:szCs w:val="20"/>
        </w:rPr>
      </w:pPr>
      <w:r w:rsidRPr="00E12E31">
        <w:rPr>
          <w:b/>
          <w:sz w:val="20"/>
          <w:szCs w:val="20"/>
        </w:rPr>
        <w:t>Popis vybraných oblastí</w:t>
      </w:r>
    </w:p>
    <w:p w:rsidR="00F36260" w:rsidRPr="00E12E31" w:rsidRDefault="00F36260" w:rsidP="00F36260">
      <w:pPr>
        <w:pStyle w:val="Odstavecseseznamem"/>
        <w:numPr>
          <w:ilvl w:val="0"/>
          <w:numId w:val="36"/>
        </w:numPr>
        <w:spacing w:after="120"/>
        <w:ind w:left="851" w:right="-286" w:hanging="425"/>
        <w:jc w:val="both"/>
        <w:rPr>
          <w:sz w:val="20"/>
          <w:szCs w:val="20"/>
        </w:rPr>
      </w:pPr>
      <w:r w:rsidRPr="00E12E31">
        <w:rPr>
          <w:b/>
          <w:sz w:val="20"/>
          <w:szCs w:val="20"/>
        </w:rPr>
        <w:t xml:space="preserve">ANEC  - WG DOMAP – spolupráce SČS v návrhu stanovisek ANEC k evropským normám pro domácí spotřebiče a obecným tématům např. </w:t>
      </w:r>
      <w:proofErr w:type="spellStart"/>
      <w:r w:rsidRPr="00E12E31">
        <w:rPr>
          <w:b/>
          <w:sz w:val="20"/>
          <w:szCs w:val="20"/>
        </w:rPr>
        <w:t>ecodesign</w:t>
      </w:r>
      <w:proofErr w:type="spellEnd"/>
      <w:r w:rsidRPr="00E12E31">
        <w:rPr>
          <w:b/>
          <w:sz w:val="20"/>
          <w:szCs w:val="20"/>
        </w:rPr>
        <w:t xml:space="preserve">, deklarace materiálů zařízení. </w:t>
      </w:r>
    </w:p>
    <w:p w:rsidR="00F36260" w:rsidRPr="00E12E31" w:rsidRDefault="00F36260" w:rsidP="00F36260">
      <w:pPr>
        <w:pStyle w:val="Odstavecseseznamem"/>
        <w:spacing w:after="120"/>
        <w:ind w:left="851" w:right="-286"/>
        <w:jc w:val="both"/>
        <w:rPr>
          <w:sz w:val="20"/>
          <w:szCs w:val="20"/>
        </w:rPr>
      </w:pPr>
      <w:r w:rsidRPr="00E12E31">
        <w:rPr>
          <w:sz w:val="20"/>
          <w:szCs w:val="20"/>
        </w:rPr>
        <w:t xml:space="preserve">Spolupráce na tématech, které jsou předmětem rozsahu činnosti WG DOMAP – připomínky k navrhovaným evropským normám pro domácí spotřebiče z pohledu priority ochrany spotřebitele, týkající se bezpečnosti při používání el. </w:t>
      </w:r>
      <w:proofErr w:type="gramStart"/>
      <w:r w:rsidRPr="00E12E31">
        <w:rPr>
          <w:sz w:val="20"/>
          <w:szCs w:val="20"/>
        </w:rPr>
        <w:t>spotřebičů</w:t>
      </w:r>
      <w:proofErr w:type="gramEnd"/>
      <w:r w:rsidRPr="00E12E31">
        <w:rPr>
          <w:sz w:val="20"/>
          <w:szCs w:val="20"/>
        </w:rPr>
        <w:t xml:space="preserve"> zejména před úrazem elektrickým proudem,  mechanickým úrazem, teplotou povrchu a řeší i  potřeby starších osob a osob se zdravotním postižením (řešeno průběžně viz níže). </w:t>
      </w:r>
    </w:p>
    <w:p w:rsidR="00F36260" w:rsidRPr="00E12E31" w:rsidRDefault="00F36260" w:rsidP="00F36260">
      <w:pPr>
        <w:pStyle w:val="Odstavecseseznamem"/>
        <w:numPr>
          <w:ilvl w:val="1"/>
          <w:numId w:val="41"/>
        </w:numPr>
        <w:spacing w:after="120"/>
        <w:ind w:left="1276" w:right="-286"/>
        <w:jc w:val="both"/>
        <w:rPr>
          <w:b/>
          <w:sz w:val="20"/>
          <w:szCs w:val="20"/>
        </w:rPr>
      </w:pPr>
      <w:r w:rsidRPr="00E12E31">
        <w:rPr>
          <w:b/>
          <w:sz w:val="20"/>
          <w:szCs w:val="20"/>
        </w:rPr>
        <w:t xml:space="preserve">Evropská komise dne 17. prosince 2015 oficiálně zveřejnila Požadavek normalizace na deklaraci materiálů podporující Směrnici o </w:t>
      </w:r>
      <w:proofErr w:type="spellStart"/>
      <w:r w:rsidRPr="00E12E31">
        <w:rPr>
          <w:b/>
          <w:sz w:val="20"/>
          <w:szCs w:val="20"/>
        </w:rPr>
        <w:t>ecodesignu</w:t>
      </w:r>
      <w:proofErr w:type="spellEnd"/>
      <w:r w:rsidRPr="00E12E31">
        <w:rPr>
          <w:b/>
          <w:sz w:val="20"/>
          <w:szCs w:val="20"/>
        </w:rPr>
        <w:t xml:space="preserve"> (2009/125/ES), která se vztahuje na energeticky závislé výrobky, jako Mandát M/543.</w:t>
      </w:r>
    </w:p>
    <w:p w:rsidR="00F36260" w:rsidRDefault="00F36260" w:rsidP="00F36260">
      <w:pPr>
        <w:pStyle w:val="Odstavecseseznamem"/>
        <w:shd w:val="clear" w:color="auto" w:fill="FFFFFF"/>
        <w:spacing w:after="120" w:line="270" w:lineRule="atLeast"/>
        <w:ind w:left="916" w:right="-286"/>
        <w:jc w:val="both"/>
        <w:rPr>
          <w:b/>
          <w:bCs/>
          <w:sz w:val="20"/>
          <w:szCs w:val="20"/>
        </w:rPr>
      </w:pPr>
      <w:r w:rsidRPr="00E12E31">
        <w:rPr>
          <w:b/>
          <w:bCs/>
          <w:sz w:val="20"/>
          <w:szCs w:val="20"/>
        </w:rPr>
        <w:t xml:space="preserve">COMMISSION IMPLEMENTING DECISION </w:t>
      </w:r>
      <w:proofErr w:type="spellStart"/>
      <w:r w:rsidRPr="00E12E31">
        <w:rPr>
          <w:b/>
          <w:bCs/>
          <w:sz w:val="20"/>
          <w:szCs w:val="20"/>
        </w:rPr>
        <w:t>of</w:t>
      </w:r>
      <w:proofErr w:type="spellEnd"/>
      <w:r w:rsidRPr="00E12E31">
        <w:rPr>
          <w:b/>
          <w:bCs/>
          <w:sz w:val="20"/>
          <w:szCs w:val="20"/>
        </w:rPr>
        <w:t xml:space="preserve"> </w:t>
      </w:r>
      <w:proofErr w:type="gramStart"/>
      <w:r w:rsidRPr="00E12E31">
        <w:rPr>
          <w:b/>
          <w:bCs/>
          <w:sz w:val="20"/>
          <w:szCs w:val="20"/>
        </w:rPr>
        <w:t>17.12.2015</w:t>
      </w:r>
      <w:proofErr w:type="gramEnd"/>
      <w:r w:rsidRPr="00E12E31">
        <w:rPr>
          <w:b/>
          <w:bCs/>
          <w:sz w:val="20"/>
          <w:szCs w:val="20"/>
        </w:rPr>
        <w:br/>
        <w:t xml:space="preserve"> on a </w:t>
      </w:r>
      <w:proofErr w:type="spellStart"/>
      <w:r w:rsidRPr="00E12E31">
        <w:rPr>
          <w:b/>
          <w:bCs/>
          <w:sz w:val="20"/>
          <w:szCs w:val="20"/>
        </w:rPr>
        <w:t>standardisation</w:t>
      </w:r>
      <w:proofErr w:type="spellEnd"/>
      <w:r w:rsidRPr="00E12E31">
        <w:rPr>
          <w:b/>
          <w:bCs/>
          <w:sz w:val="20"/>
          <w:szCs w:val="20"/>
        </w:rPr>
        <w:t xml:space="preserve"> </w:t>
      </w:r>
      <w:proofErr w:type="spellStart"/>
      <w:r w:rsidRPr="00E12E31">
        <w:rPr>
          <w:b/>
          <w:bCs/>
          <w:sz w:val="20"/>
          <w:szCs w:val="20"/>
        </w:rPr>
        <w:t>request</w:t>
      </w:r>
      <w:proofErr w:type="spellEnd"/>
      <w:r w:rsidRPr="00E12E31">
        <w:rPr>
          <w:b/>
          <w:bCs/>
          <w:sz w:val="20"/>
          <w:szCs w:val="20"/>
        </w:rPr>
        <w:t xml:space="preserve"> to </w:t>
      </w:r>
      <w:proofErr w:type="spellStart"/>
      <w:r w:rsidRPr="00E12E31">
        <w:rPr>
          <w:b/>
          <w:bCs/>
          <w:sz w:val="20"/>
          <w:szCs w:val="20"/>
        </w:rPr>
        <w:t>the</w:t>
      </w:r>
      <w:proofErr w:type="spellEnd"/>
      <w:r w:rsidRPr="00E12E31">
        <w:rPr>
          <w:b/>
          <w:bCs/>
          <w:sz w:val="20"/>
          <w:szCs w:val="20"/>
        </w:rPr>
        <w:t xml:space="preserve"> </w:t>
      </w:r>
      <w:proofErr w:type="spellStart"/>
      <w:r w:rsidRPr="00E12E31">
        <w:rPr>
          <w:b/>
          <w:bCs/>
          <w:sz w:val="20"/>
          <w:szCs w:val="20"/>
        </w:rPr>
        <w:t>European</w:t>
      </w:r>
      <w:proofErr w:type="spellEnd"/>
      <w:r w:rsidRPr="00E12E31">
        <w:rPr>
          <w:b/>
          <w:bCs/>
          <w:sz w:val="20"/>
          <w:szCs w:val="20"/>
        </w:rPr>
        <w:t xml:space="preserve"> </w:t>
      </w:r>
      <w:proofErr w:type="spellStart"/>
      <w:r w:rsidRPr="00E12E31">
        <w:rPr>
          <w:b/>
          <w:bCs/>
          <w:sz w:val="20"/>
          <w:szCs w:val="20"/>
        </w:rPr>
        <w:t>standardisation</w:t>
      </w:r>
      <w:proofErr w:type="spellEnd"/>
      <w:r w:rsidRPr="00E12E31">
        <w:rPr>
          <w:b/>
          <w:bCs/>
          <w:sz w:val="20"/>
          <w:szCs w:val="20"/>
        </w:rPr>
        <w:t xml:space="preserve"> </w:t>
      </w:r>
      <w:proofErr w:type="spellStart"/>
      <w:r w:rsidRPr="00E12E31">
        <w:rPr>
          <w:b/>
          <w:bCs/>
          <w:sz w:val="20"/>
          <w:szCs w:val="20"/>
        </w:rPr>
        <w:t>organisations</w:t>
      </w:r>
      <w:proofErr w:type="spellEnd"/>
      <w:r w:rsidRPr="00E12E31">
        <w:rPr>
          <w:b/>
          <w:bCs/>
          <w:sz w:val="20"/>
          <w:szCs w:val="20"/>
        </w:rPr>
        <w:t xml:space="preserve"> as </w:t>
      </w:r>
      <w:proofErr w:type="spellStart"/>
      <w:r w:rsidRPr="00E12E31">
        <w:rPr>
          <w:b/>
          <w:bCs/>
          <w:sz w:val="20"/>
          <w:szCs w:val="20"/>
        </w:rPr>
        <w:t>regards</w:t>
      </w:r>
      <w:proofErr w:type="spellEnd"/>
      <w:r w:rsidRPr="00E12E31">
        <w:rPr>
          <w:b/>
          <w:bCs/>
          <w:sz w:val="20"/>
          <w:szCs w:val="20"/>
        </w:rPr>
        <w:t xml:space="preserve"> </w:t>
      </w:r>
      <w:proofErr w:type="spellStart"/>
      <w:r w:rsidRPr="00E12E31">
        <w:rPr>
          <w:b/>
          <w:bCs/>
          <w:sz w:val="20"/>
          <w:szCs w:val="20"/>
        </w:rPr>
        <w:t>ecodesign</w:t>
      </w:r>
      <w:proofErr w:type="spellEnd"/>
      <w:r w:rsidRPr="00E12E31">
        <w:rPr>
          <w:b/>
          <w:bCs/>
          <w:sz w:val="20"/>
          <w:szCs w:val="20"/>
        </w:rPr>
        <w:t xml:space="preserve"> </w:t>
      </w:r>
      <w:proofErr w:type="spellStart"/>
      <w:r w:rsidRPr="00E12E31">
        <w:rPr>
          <w:b/>
          <w:bCs/>
          <w:sz w:val="20"/>
          <w:szCs w:val="20"/>
        </w:rPr>
        <w:t>requirements</w:t>
      </w:r>
      <w:proofErr w:type="spellEnd"/>
      <w:r w:rsidRPr="00E12E31">
        <w:rPr>
          <w:b/>
          <w:bCs/>
          <w:sz w:val="20"/>
          <w:szCs w:val="20"/>
        </w:rPr>
        <w:t xml:space="preserve"> on </w:t>
      </w:r>
      <w:proofErr w:type="spellStart"/>
      <w:r w:rsidRPr="00E12E31">
        <w:rPr>
          <w:b/>
          <w:bCs/>
          <w:sz w:val="20"/>
          <w:szCs w:val="20"/>
        </w:rPr>
        <w:t>material</w:t>
      </w:r>
      <w:proofErr w:type="spellEnd"/>
      <w:r w:rsidRPr="00E12E31">
        <w:rPr>
          <w:b/>
          <w:bCs/>
          <w:sz w:val="20"/>
          <w:szCs w:val="20"/>
        </w:rPr>
        <w:t xml:space="preserve"> </w:t>
      </w:r>
      <w:proofErr w:type="spellStart"/>
      <w:r w:rsidRPr="00E12E31">
        <w:rPr>
          <w:b/>
          <w:bCs/>
          <w:sz w:val="20"/>
          <w:szCs w:val="20"/>
        </w:rPr>
        <w:t>efficiency</w:t>
      </w:r>
      <w:proofErr w:type="spellEnd"/>
      <w:r w:rsidRPr="00E12E31">
        <w:rPr>
          <w:b/>
          <w:bCs/>
          <w:sz w:val="20"/>
          <w:szCs w:val="20"/>
        </w:rPr>
        <w:t xml:space="preserve"> </w:t>
      </w:r>
      <w:proofErr w:type="spellStart"/>
      <w:r w:rsidRPr="00E12E31">
        <w:rPr>
          <w:b/>
          <w:bCs/>
          <w:sz w:val="20"/>
          <w:szCs w:val="20"/>
        </w:rPr>
        <w:t>aspects</w:t>
      </w:r>
      <w:proofErr w:type="spellEnd"/>
      <w:r w:rsidRPr="00E12E31">
        <w:rPr>
          <w:b/>
          <w:bCs/>
          <w:sz w:val="20"/>
          <w:szCs w:val="20"/>
        </w:rPr>
        <w:t xml:space="preserve"> </w:t>
      </w:r>
      <w:proofErr w:type="spellStart"/>
      <w:r w:rsidRPr="00E12E31">
        <w:rPr>
          <w:b/>
          <w:bCs/>
          <w:sz w:val="20"/>
          <w:szCs w:val="20"/>
        </w:rPr>
        <w:t>for</w:t>
      </w:r>
      <w:proofErr w:type="spellEnd"/>
      <w:r w:rsidRPr="00E12E31">
        <w:rPr>
          <w:b/>
          <w:bCs/>
          <w:sz w:val="20"/>
          <w:szCs w:val="20"/>
        </w:rPr>
        <w:t xml:space="preserve"> </w:t>
      </w:r>
      <w:proofErr w:type="spellStart"/>
      <w:r w:rsidRPr="00E12E31">
        <w:rPr>
          <w:b/>
          <w:bCs/>
          <w:sz w:val="20"/>
          <w:szCs w:val="20"/>
        </w:rPr>
        <w:t>energy-related</w:t>
      </w:r>
      <w:proofErr w:type="spellEnd"/>
      <w:r w:rsidRPr="00E12E31">
        <w:rPr>
          <w:b/>
          <w:bCs/>
          <w:sz w:val="20"/>
          <w:szCs w:val="20"/>
        </w:rPr>
        <w:t xml:space="preserve"> </w:t>
      </w:r>
      <w:proofErr w:type="spellStart"/>
      <w:r w:rsidRPr="00E12E31">
        <w:rPr>
          <w:b/>
          <w:bCs/>
          <w:sz w:val="20"/>
          <w:szCs w:val="20"/>
        </w:rPr>
        <w:t>products</w:t>
      </w:r>
      <w:proofErr w:type="spellEnd"/>
      <w:r w:rsidRPr="00E12E31">
        <w:rPr>
          <w:b/>
          <w:bCs/>
          <w:sz w:val="20"/>
          <w:szCs w:val="20"/>
        </w:rPr>
        <w:t xml:space="preserve"> in support </w:t>
      </w:r>
      <w:proofErr w:type="spellStart"/>
      <w:r w:rsidRPr="00E12E31">
        <w:rPr>
          <w:b/>
          <w:bCs/>
          <w:sz w:val="20"/>
          <w:szCs w:val="20"/>
        </w:rPr>
        <w:t>of</w:t>
      </w:r>
      <w:proofErr w:type="spellEnd"/>
      <w:r w:rsidRPr="00E12E31">
        <w:rPr>
          <w:b/>
          <w:bCs/>
          <w:sz w:val="20"/>
          <w:szCs w:val="20"/>
        </w:rPr>
        <w:t xml:space="preserve"> </w:t>
      </w:r>
      <w:proofErr w:type="spellStart"/>
      <w:r w:rsidRPr="00E12E31">
        <w:rPr>
          <w:b/>
          <w:bCs/>
          <w:sz w:val="20"/>
          <w:szCs w:val="20"/>
        </w:rPr>
        <w:t>the</w:t>
      </w:r>
      <w:proofErr w:type="spellEnd"/>
      <w:r w:rsidRPr="00E12E31">
        <w:rPr>
          <w:b/>
          <w:bCs/>
          <w:sz w:val="20"/>
          <w:szCs w:val="20"/>
        </w:rPr>
        <w:t xml:space="preserve"> </w:t>
      </w:r>
      <w:proofErr w:type="spellStart"/>
      <w:r w:rsidRPr="00E12E31">
        <w:rPr>
          <w:b/>
          <w:bCs/>
          <w:sz w:val="20"/>
          <w:szCs w:val="20"/>
        </w:rPr>
        <w:t>implementation</w:t>
      </w:r>
      <w:proofErr w:type="spellEnd"/>
      <w:r w:rsidRPr="00E12E31">
        <w:rPr>
          <w:b/>
          <w:bCs/>
          <w:sz w:val="20"/>
          <w:szCs w:val="20"/>
        </w:rPr>
        <w:t xml:space="preserve"> </w:t>
      </w:r>
      <w:proofErr w:type="spellStart"/>
      <w:r w:rsidRPr="00E12E31">
        <w:rPr>
          <w:b/>
          <w:bCs/>
          <w:sz w:val="20"/>
          <w:szCs w:val="20"/>
        </w:rPr>
        <w:t>of</w:t>
      </w:r>
      <w:proofErr w:type="spellEnd"/>
      <w:r w:rsidRPr="00E12E31">
        <w:rPr>
          <w:b/>
          <w:bCs/>
          <w:sz w:val="20"/>
          <w:szCs w:val="20"/>
        </w:rPr>
        <w:t xml:space="preserve"> </w:t>
      </w:r>
      <w:proofErr w:type="spellStart"/>
      <w:r w:rsidRPr="00E12E31">
        <w:rPr>
          <w:b/>
          <w:bCs/>
          <w:sz w:val="20"/>
          <w:szCs w:val="20"/>
        </w:rPr>
        <w:t>Directive</w:t>
      </w:r>
      <w:proofErr w:type="spellEnd"/>
      <w:r w:rsidRPr="00E12E31">
        <w:rPr>
          <w:b/>
          <w:bCs/>
          <w:sz w:val="20"/>
          <w:szCs w:val="20"/>
        </w:rPr>
        <w:t xml:space="preserve"> 2009/125/EC </w:t>
      </w:r>
      <w:proofErr w:type="spellStart"/>
      <w:r w:rsidRPr="00E12E31">
        <w:rPr>
          <w:b/>
          <w:bCs/>
          <w:sz w:val="20"/>
          <w:szCs w:val="20"/>
        </w:rPr>
        <w:t>of</w:t>
      </w:r>
      <w:proofErr w:type="spellEnd"/>
      <w:r w:rsidRPr="00E12E31">
        <w:rPr>
          <w:b/>
          <w:bCs/>
          <w:sz w:val="20"/>
          <w:szCs w:val="20"/>
        </w:rPr>
        <w:t xml:space="preserve"> </w:t>
      </w:r>
      <w:proofErr w:type="spellStart"/>
      <w:r w:rsidRPr="00E12E31">
        <w:rPr>
          <w:b/>
          <w:bCs/>
          <w:sz w:val="20"/>
          <w:szCs w:val="20"/>
        </w:rPr>
        <w:t>the</w:t>
      </w:r>
      <w:proofErr w:type="spellEnd"/>
      <w:r w:rsidRPr="00E12E31">
        <w:rPr>
          <w:b/>
          <w:bCs/>
          <w:sz w:val="20"/>
          <w:szCs w:val="20"/>
        </w:rPr>
        <w:t xml:space="preserve"> </w:t>
      </w:r>
      <w:proofErr w:type="spellStart"/>
      <w:r w:rsidRPr="00E12E31">
        <w:rPr>
          <w:b/>
          <w:bCs/>
          <w:sz w:val="20"/>
          <w:szCs w:val="20"/>
        </w:rPr>
        <w:t>European</w:t>
      </w:r>
      <w:proofErr w:type="spellEnd"/>
      <w:r w:rsidRPr="00E12E31">
        <w:rPr>
          <w:b/>
          <w:bCs/>
          <w:sz w:val="20"/>
          <w:szCs w:val="20"/>
        </w:rPr>
        <w:t xml:space="preserve"> </w:t>
      </w:r>
      <w:proofErr w:type="spellStart"/>
      <w:r w:rsidRPr="00E12E31">
        <w:rPr>
          <w:b/>
          <w:bCs/>
          <w:sz w:val="20"/>
          <w:szCs w:val="20"/>
        </w:rPr>
        <w:t>Parliament</w:t>
      </w:r>
      <w:proofErr w:type="spellEnd"/>
      <w:r w:rsidRPr="00E12E31">
        <w:rPr>
          <w:b/>
          <w:bCs/>
          <w:sz w:val="20"/>
          <w:szCs w:val="20"/>
        </w:rPr>
        <w:t xml:space="preserve"> and </w:t>
      </w:r>
      <w:proofErr w:type="spellStart"/>
      <w:r w:rsidRPr="00E12E31">
        <w:rPr>
          <w:b/>
          <w:bCs/>
          <w:sz w:val="20"/>
          <w:szCs w:val="20"/>
        </w:rPr>
        <w:t>of</w:t>
      </w:r>
      <w:proofErr w:type="spellEnd"/>
      <w:r w:rsidRPr="00E12E31">
        <w:rPr>
          <w:b/>
          <w:bCs/>
          <w:sz w:val="20"/>
          <w:szCs w:val="20"/>
        </w:rPr>
        <w:t xml:space="preserve"> </w:t>
      </w:r>
      <w:proofErr w:type="spellStart"/>
      <w:r w:rsidRPr="00E12E31">
        <w:rPr>
          <w:b/>
          <w:bCs/>
          <w:sz w:val="20"/>
          <w:szCs w:val="20"/>
        </w:rPr>
        <w:t>the</w:t>
      </w:r>
      <w:proofErr w:type="spellEnd"/>
      <w:r w:rsidRPr="00E12E31">
        <w:rPr>
          <w:b/>
          <w:bCs/>
          <w:sz w:val="20"/>
          <w:szCs w:val="20"/>
        </w:rPr>
        <w:t xml:space="preserve"> </w:t>
      </w:r>
      <w:proofErr w:type="spellStart"/>
      <w:r w:rsidRPr="00E12E31">
        <w:rPr>
          <w:b/>
          <w:bCs/>
          <w:sz w:val="20"/>
          <w:szCs w:val="20"/>
        </w:rPr>
        <w:t>Council</w:t>
      </w:r>
      <w:proofErr w:type="spellEnd"/>
    </w:p>
    <w:p w:rsidR="00F36260" w:rsidRPr="00E12E31" w:rsidRDefault="00F36260" w:rsidP="00F36260">
      <w:pPr>
        <w:pStyle w:val="Odstavecseseznamem"/>
        <w:shd w:val="clear" w:color="auto" w:fill="FFFFFF"/>
        <w:spacing w:after="120" w:line="270" w:lineRule="atLeast"/>
        <w:ind w:left="916" w:right="-286"/>
        <w:jc w:val="both"/>
        <w:rPr>
          <w:bCs/>
          <w:sz w:val="20"/>
          <w:szCs w:val="20"/>
        </w:rPr>
      </w:pPr>
      <w:r w:rsidRPr="00E12E31">
        <w:rPr>
          <w:bCs/>
          <w:sz w:val="20"/>
          <w:szCs w:val="20"/>
        </w:rPr>
        <w:t xml:space="preserve">Směrnice 2009/125 / ES stanovuje rámec pro určení požadavků spojených s energetickou </w:t>
      </w:r>
      <w:proofErr w:type="gramStart"/>
      <w:r w:rsidRPr="00E12E31">
        <w:rPr>
          <w:bCs/>
          <w:sz w:val="20"/>
          <w:szCs w:val="20"/>
        </w:rPr>
        <w:t>náročností  produktů</w:t>
      </w:r>
      <w:proofErr w:type="gramEnd"/>
      <w:r w:rsidRPr="00E12E31">
        <w:rPr>
          <w:bCs/>
          <w:sz w:val="20"/>
          <w:szCs w:val="20"/>
        </w:rPr>
        <w:t xml:space="preserve"> s cílem zajistit volný pohyb těchto výrobků v rámci vnitřního trhu. Přispívá k trvale udržitelnému rozvoji, využívání zdrojů a k úrovni ochrany životního prostředí.</w:t>
      </w:r>
    </w:p>
    <w:p w:rsidR="00F36260" w:rsidRPr="00E12E31" w:rsidRDefault="00F36260" w:rsidP="00F36260">
      <w:pPr>
        <w:pStyle w:val="Odstavecseseznamem"/>
        <w:spacing w:after="120"/>
        <w:ind w:left="916" w:right="-286"/>
        <w:jc w:val="both"/>
        <w:rPr>
          <w:bCs/>
          <w:sz w:val="20"/>
          <w:szCs w:val="20"/>
        </w:rPr>
      </w:pPr>
      <w:r w:rsidRPr="00E12E31">
        <w:rPr>
          <w:bCs/>
          <w:sz w:val="20"/>
          <w:szCs w:val="20"/>
        </w:rPr>
        <w:t xml:space="preserve">V souvislosti se zveřejněním Mandátu M/543 by měly být navrhované evropské normy harmonizovány s požadavky uvedenými v tomto mandátu a tím i v Směrnici o </w:t>
      </w:r>
      <w:proofErr w:type="spellStart"/>
      <w:r w:rsidRPr="00E12E31">
        <w:rPr>
          <w:bCs/>
          <w:sz w:val="20"/>
          <w:szCs w:val="20"/>
        </w:rPr>
        <w:t>ecodesignu</w:t>
      </w:r>
      <w:proofErr w:type="spellEnd"/>
      <w:r w:rsidRPr="00E12E31">
        <w:rPr>
          <w:bCs/>
          <w:sz w:val="20"/>
          <w:szCs w:val="20"/>
        </w:rPr>
        <w:t xml:space="preserve"> 2009/125/EC.</w:t>
      </w:r>
      <w:r w:rsidRPr="00E12E31">
        <w:rPr>
          <w:b/>
          <w:bCs/>
          <w:sz w:val="20"/>
          <w:szCs w:val="20"/>
        </w:rPr>
        <w:br/>
      </w:r>
      <w:r w:rsidRPr="00E12E31">
        <w:rPr>
          <w:bCs/>
          <w:sz w:val="20"/>
          <w:szCs w:val="20"/>
        </w:rPr>
        <w:t xml:space="preserve">Soubor požadavků zahrnuje deklaraci materiálů používaných ve výrobcích hlavně z hlediska ekologického (environmentální aspekt) tj. použitých materiálů vzhledem k obsahu nebezpečných látek kdy je požadována i </w:t>
      </w:r>
      <w:r w:rsidRPr="00E12E31">
        <w:rPr>
          <w:bCs/>
          <w:sz w:val="20"/>
          <w:szCs w:val="20"/>
        </w:rPr>
        <w:lastRenderedPageBreak/>
        <w:t>jejich měřitelnost. Dále je požadováno zajistit prodloužení životnosti produktu, opakovaně používat komponenty nebo recyklovat materiály i s možností získání energie na konci života produktu.</w:t>
      </w:r>
    </w:p>
    <w:p w:rsidR="00F36260" w:rsidRPr="00E12E31" w:rsidRDefault="00F36260" w:rsidP="00F36260">
      <w:pPr>
        <w:autoSpaceDE w:val="0"/>
        <w:autoSpaceDN w:val="0"/>
        <w:adjustRightInd w:val="0"/>
        <w:spacing w:after="120"/>
        <w:ind w:left="916" w:right="-286"/>
        <w:jc w:val="both"/>
        <w:rPr>
          <w:bCs/>
        </w:rPr>
      </w:pPr>
      <w:r w:rsidRPr="00E12E31">
        <w:rPr>
          <w:bCs/>
        </w:rPr>
        <w:t xml:space="preserve">Je možné konstatovat, že některé návrhy jak mezinárodních tak i evropských norem tyto požadavky již </w:t>
      </w:r>
      <w:proofErr w:type="gramStart"/>
      <w:r w:rsidRPr="00E12E31">
        <w:rPr>
          <w:bCs/>
        </w:rPr>
        <w:t>berou</w:t>
      </w:r>
      <w:proofErr w:type="gramEnd"/>
      <w:r w:rsidRPr="00E12E31">
        <w:rPr>
          <w:bCs/>
        </w:rPr>
        <w:t xml:space="preserve"> v úvahu popř. </w:t>
      </w:r>
      <w:proofErr w:type="gramStart"/>
      <w:r w:rsidRPr="00E12E31">
        <w:rPr>
          <w:bCs/>
        </w:rPr>
        <w:t>splňují</w:t>
      </w:r>
      <w:proofErr w:type="gramEnd"/>
      <w:r w:rsidRPr="00E12E31">
        <w:rPr>
          <w:bCs/>
        </w:rPr>
        <w:t xml:space="preserve">. Jako příklad lze uvést soubor evropských norem EN 62321 (zavedeno jako soubor ČSN </w:t>
      </w:r>
      <w:proofErr w:type="gramStart"/>
      <w:r w:rsidRPr="00E12E31">
        <w:rPr>
          <w:bCs/>
        </w:rPr>
        <w:t>EN )</w:t>
      </w:r>
      <w:r w:rsidRPr="00E12E31">
        <w:t xml:space="preserve"> „Stanovení</w:t>
      </w:r>
      <w:proofErr w:type="gramEnd"/>
      <w:r w:rsidRPr="00E12E31">
        <w:t xml:space="preserve"> některých látek v elektrotechnických výrobcích (olovo, rtuť, kadmium, celkový chroma celkový brom)“, </w:t>
      </w:r>
      <w:r w:rsidRPr="00E12E31">
        <w:rPr>
          <w:bCs/>
        </w:rPr>
        <w:t xml:space="preserve">který stanovuje normalizační metody měření jednotlivých nebezpečných látek. </w:t>
      </w:r>
    </w:p>
    <w:p w:rsidR="00F36260" w:rsidRPr="00E12E31" w:rsidRDefault="00F36260" w:rsidP="00F36260">
      <w:pPr>
        <w:autoSpaceDE w:val="0"/>
        <w:autoSpaceDN w:val="0"/>
        <w:adjustRightInd w:val="0"/>
        <w:spacing w:after="120"/>
        <w:ind w:left="916" w:right="-286"/>
        <w:jc w:val="both"/>
        <w:rPr>
          <w:color w:val="000000"/>
        </w:rPr>
      </w:pPr>
      <w:r w:rsidRPr="00E12E31">
        <w:rPr>
          <w:bCs/>
        </w:rPr>
        <w:t>ANEC se na tvorbě „</w:t>
      </w:r>
      <w:r w:rsidRPr="00E12E31">
        <w:rPr>
          <w:iCs/>
          <w:color w:val="000000"/>
        </w:rPr>
        <w:t xml:space="preserve">Požadavků normalizace </w:t>
      </w:r>
      <w:proofErr w:type="gramStart"/>
      <w:r w:rsidRPr="00E12E31">
        <w:rPr>
          <w:iCs/>
          <w:color w:val="000000"/>
        </w:rPr>
        <w:t>na  deklaraci</w:t>
      </w:r>
      <w:proofErr w:type="gramEnd"/>
      <w:r w:rsidRPr="00E12E31">
        <w:rPr>
          <w:iCs/>
          <w:color w:val="000000"/>
        </w:rPr>
        <w:t xml:space="preserve">  materiálů“ ve spolupráci s CEN a CENELEC aktivně podílel nejen předáním </w:t>
      </w:r>
      <w:r w:rsidRPr="00E12E31">
        <w:rPr>
          <w:color w:val="000000"/>
        </w:rPr>
        <w:t xml:space="preserve">seznamu norem pro domácí spotřebiče a informační / komunikační technologie obsahující ustanovení pro zkoušky životnosti a / nebo trvanlivosti nejen se zaměřením na jednotlivé komponenty ale i na zařízení jako celek. ANEC se současně účastnil na průběžných </w:t>
      </w:r>
      <w:proofErr w:type="gramStart"/>
      <w:r w:rsidRPr="00E12E31">
        <w:rPr>
          <w:color w:val="000000"/>
        </w:rPr>
        <w:t>konzultacích s  pracovní</w:t>
      </w:r>
      <w:proofErr w:type="gramEnd"/>
      <w:r w:rsidRPr="00E12E31">
        <w:rPr>
          <w:color w:val="000000"/>
        </w:rPr>
        <w:t xml:space="preserve"> skupinou pro vytvoření mandátu M/543.</w:t>
      </w:r>
    </w:p>
    <w:p w:rsidR="00F36260" w:rsidRPr="00E12E31" w:rsidRDefault="00F36260" w:rsidP="00F36260">
      <w:pPr>
        <w:autoSpaceDE w:val="0"/>
        <w:autoSpaceDN w:val="0"/>
        <w:adjustRightInd w:val="0"/>
        <w:spacing w:after="120"/>
        <w:ind w:left="916" w:right="-286"/>
        <w:jc w:val="both"/>
      </w:pPr>
      <w:r w:rsidRPr="00E12E31">
        <w:rPr>
          <w:color w:val="000000"/>
        </w:rPr>
        <w:t>Souhlasné stanovisko s postupem projednávání a tímto seznamem jsme zaslali ANEC WG DOMAP.</w:t>
      </w:r>
      <w:r w:rsidRPr="00E12E31">
        <w:rPr>
          <w:bCs/>
        </w:rPr>
        <w:t xml:space="preserve"> </w:t>
      </w:r>
    </w:p>
    <w:p w:rsidR="00F36260" w:rsidRPr="00E12E31" w:rsidRDefault="00F36260" w:rsidP="00F36260">
      <w:pPr>
        <w:pStyle w:val="Odstavecseseznamem"/>
        <w:numPr>
          <w:ilvl w:val="1"/>
          <w:numId w:val="41"/>
        </w:numPr>
        <w:spacing w:after="120"/>
        <w:ind w:left="1276" w:right="-286"/>
        <w:jc w:val="both"/>
        <w:rPr>
          <w:b/>
          <w:sz w:val="20"/>
          <w:szCs w:val="20"/>
        </w:rPr>
      </w:pPr>
      <w:proofErr w:type="spellStart"/>
      <w:r w:rsidRPr="00E12E31">
        <w:rPr>
          <w:b/>
          <w:sz w:val="20"/>
          <w:szCs w:val="20"/>
        </w:rPr>
        <w:t>Ecodesign</w:t>
      </w:r>
      <w:proofErr w:type="spellEnd"/>
      <w:r w:rsidRPr="00E12E31">
        <w:rPr>
          <w:b/>
          <w:sz w:val="20"/>
          <w:szCs w:val="20"/>
        </w:rPr>
        <w:t xml:space="preserve"> </w:t>
      </w:r>
      <w:proofErr w:type="spellStart"/>
      <w:r w:rsidRPr="00E12E31">
        <w:rPr>
          <w:b/>
          <w:sz w:val="20"/>
          <w:szCs w:val="20"/>
        </w:rPr>
        <w:t>Working</w:t>
      </w:r>
      <w:proofErr w:type="spellEnd"/>
      <w:r w:rsidRPr="00E12E31">
        <w:rPr>
          <w:b/>
          <w:sz w:val="20"/>
          <w:szCs w:val="20"/>
        </w:rPr>
        <w:t xml:space="preserve"> </w:t>
      </w:r>
      <w:proofErr w:type="spellStart"/>
      <w:r w:rsidRPr="00E12E31">
        <w:rPr>
          <w:b/>
          <w:sz w:val="20"/>
          <w:szCs w:val="20"/>
        </w:rPr>
        <w:t>Plan</w:t>
      </w:r>
      <w:proofErr w:type="spellEnd"/>
      <w:r w:rsidRPr="00E12E31">
        <w:rPr>
          <w:b/>
          <w:sz w:val="20"/>
          <w:szCs w:val="20"/>
        </w:rPr>
        <w:t xml:space="preserve"> </w:t>
      </w:r>
      <w:proofErr w:type="spellStart"/>
      <w:r w:rsidRPr="00E12E31">
        <w:rPr>
          <w:b/>
          <w:sz w:val="20"/>
          <w:szCs w:val="20"/>
        </w:rPr>
        <w:t>for</w:t>
      </w:r>
      <w:proofErr w:type="spellEnd"/>
      <w:r w:rsidRPr="00E12E31">
        <w:rPr>
          <w:b/>
          <w:sz w:val="20"/>
          <w:szCs w:val="20"/>
        </w:rPr>
        <w:t xml:space="preserve"> 2015-2017</w:t>
      </w:r>
    </w:p>
    <w:p w:rsidR="00F36260" w:rsidRPr="00E12E31" w:rsidRDefault="00F36260" w:rsidP="00F36260">
      <w:pPr>
        <w:shd w:val="clear" w:color="auto" w:fill="FFFFFF"/>
        <w:spacing w:after="120" w:line="270" w:lineRule="atLeast"/>
        <w:ind w:left="916" w:right="-286"/>
        <w:jc w:val="both"/>
      </w:pPr>
      <w:r w:rsidRPr="00E12E31">
        <w:t>Evropská komise navrhuje zahrnout do ekonomického balíčku (</w:t>
      </w:r>
      <w:proofErr w:type="spellStart"/>
      <w:r w:rsidRPr="00E12E31">
        <w:t>Circular</w:t>
      </w:r>
      <w:proofErr w:type="spellEnd"/>
      <w:r w:rsidRPr="00E12E31">
        <w:t xml:space="preserve"> </w:t>
      </w:r>
      <w:proofErr w:type="spellStart"/>
      <w:r w:rsidRPr="00E12E31">
        <w:t>Economy</w:t>
      </w:r>
      <w:proofErr w:type="spellEnd"/>
      <w:r w:rsidRPr="00E12E31">
        <w:t xml:space="preserve"> </w:t>
      </w:r>
      <w:proofErr w:type="spellStart"/>
      <w:r w:rsidRPr="00E12E31">
        <w:t>Package</w:t>
      </w:r>
      <w:proofErr w:type="spellEnd"/>
      <w:r w:rsidRPr="00E12E31">
        <w:t xml:space="preserve">) „Pracovní plán pro </w:t>
      </w:r>
      <w:proofErr w:type="spellStart"/>
      <w:r w:rsidRPr="00E12E31">
        <w:t>ecodesign</w:t>
      </w:r>
      <w:proofErr w:type="spellEnd"/>
      <w:r w:rsidRPr="00E12E31">
        <w:t xml:space="preserve"> na 2015-2017“, který byl zveřejněn dne 2. prosince 2015. ANEC se v rámci konzultačního fóra podílel na diskusi, které výrobky by měly být zahrnuty do pracovního plánu. Základem byl dokument zveřejněný Evropskou komisí, který obsahuje seznam skupin výrobků, které byly určeny podle přípravné studie pro případnou další analýzu v rámci tohoto pracovního plánu na  2015-2017. Skupiny </w:t>
      </w:r>
      <w:proofErr w:type="gramStart"/>
      <w:r w:rsidRPr="00E12E31">
        <w:t>výrobků  byly</w:t>
      </w:r>
      <w:proofErr w:type="gramEnd"/>
      <w:r w:rsidRPr="00E12E31">
        <w:t xml:space="preserve"> vybrány a doporučeny ANEC i s ohledem na činnost spotřebitelských organizací.</w:t>
      </w:r>
    </w:p>
    <w:p w:rsidR="00F36260" w:rsidRPr="00E12E31" w:rsidRDefault="00F36260" w:rsidP="00F36260">
      <w:pPr>
        <w:shd w:val="clear" w:color="auto" w:fill="FFFFFF"/>
        <w:spacing w:after="120" w:line="270" w:lineRule="atLeast"/>
        <w:ind w:left="916" w:right="-286"/>
        <w:jc w:val="both"/>
      </w:pPr>
      <w:r w:rsidRPr="00E12E31">
        <w:t xml:space="preserve">Jedná se o - el. </w:t>
      </w:r>
      <w:proofErr w:type="gramStart"/>
      <w:r w:rsidRPr="00E12E31">
        <w:t>konvice</w:t>
      </w:r>
      <w:proofErr w:type="gramEnd"/>
      <w:r w:rsidRPr="00E12E31">
        <w:t xml:space="preserve">, vysoušeče vlasů, opékače, mobilní telefony, nabíječky , </w:t>
      </w:r>
      <w:proofErr w:type="spellStart"/>
      <w:r w:rsidRPr="00E12E31">
        <w:t>fotovoltaické</w:t>
      </w:r>
      <w:proofErr w:type="spellEnd"/>
      <w:r w:rsidRPr="00E12E31">
        <w:t xml:space="preserve"> systémy .</w:t>
      </w:r>
    </w:p>
    <w:p w:rsidR="00F36260" w:rsidRPr="00E12E31" w:rsidRDefault="00F36260" w:rsidP="00F36260">
      <w:pPr>
        <w:shd w:val="clear" w:color="auto" w:fill="FFFFFF"/>
        <w:spacing w:after="120" w:line="270" w:lineRule="atLeast"/>
        <w:ind w:left="916" w:right="-286"/>
        <w:jc w:val="both"/>
      </w:pPr>
      <w:r w:rsidRPr="00E12E31">
        <w:t xml:space="preserve">K návrhu plánu </w:t>
      </w:r>
      <w:proofErr w:type="spellStart"/>
      <w:r w:rsidRPr="00E12E31">
        <w:t>Ecodesign</w:t>
      </w:r>
      <w:proofErr w:type="spellEnd"/>
      <w:r w:rsidRPr="00E12E31">
        <w:t xml:space="preserve"> WG jsme odeslali ANEC podporující stanovisko.</w:t>
      </w:r>
    </w:p>
    <w:p w:rsidR="00F36260" w:rsidRPr="00E12E31" w:rsidRDefault="00F36260" w:rsidP="00F36260">
      <w:pPr>
        <w:pStyle w:val="Odstavecseseznamem"/>
        <w:numPr>
          <w:ilvl w:val="1"/>
          <w:numId w:val="41"/>
        </w:numPr>
        <w:spacing w:after="120"/>
        <w:ind w:left="1276" w:right="-286"/>
        <w:jc w:val="both"/>
        <w:rPr>
          <w:b/>
          <w:sz w:val="20"/>
          <w:szCs w:val="20"/>
        </w:rPr>
      </w:pPr>
      <w:r w:rsidRPr="00E12E31">
        <w:rPr>
          <w:b/>
          <w:sz w:val="20"/>
          <w:szCs w:val="20"/>
        </w:rPr>
        <w:t xml:space="preserve">Požadavky komise pro grily </w:t>
      </w:r>
    </w:p>
    <w:p w:rsidR="00F36260" w:rsidRPr="00E12E31" w:rsidRDefault="00F36260" w:rsidP="00F36260">
      <w:pPr>
        <w:pStyle w:val="Odstavecseseznamem"/>
        <w:shd w:val="clear" w:color="auto" w:fill="FFFFFF"/>
        <w:spacing w:after="120" w:line="270" w:lineRule="atLeast"/>
        <w:ind w:left="916" w:right="-286"/>
        <w:jc w:val="both"/>
        <w:rPr>
          <w:color w:val="000000"/>
          <w:sz w:val="20"/>
          <w:szCs w:val="20"/>
        </w:rPr>
      </w:pPr>
      <w:r w:rsidRPr="00E12E31">
        <w:rPr>
          <w:sz w:val="20"/>
          <w:szCs w:val="20"/>
        </w:rPr>
        <w:t xml:space="preserve">V prosinci 2015 Komise rozeslala novou verzi dokumentu s bezpečnostními požadavky na grilování s použitím pevných paliv a podpalovačů se žádostí členským státům o komentář a současně jej </w:t>
      </w:r>
      <w:proofErr w:type="gramStart"/>
      <w:r w:rsidRPr="00E12E31">
        <w:rPr>
          <w:sz w:val="20"/>
          <w:szCs w:val="20"/>
        </w:rPr>
        <w:t>zaslala  k připomínkám</w:t>
      </w:r>
      <w:proofErr w:type="gramEnd"/>
      <w:r w:rsidRPr="00E12E31">
        <w:rPr>
          <w:sz w:val="20"/>
          <w:szCs w:val="20"/>
        </w:rPr>
        <w:t xml:space="preserve"> technické  komisi CEN TC 281 "Spotřebiče, pevná paliva a zapalovací zařízení pro grilování". První verze návrhu požadavků byla diskutována na zasedání DOMAP v Berlíně 2015/05 (</w:t>
      </w:r>
      <w:r w:rsidRPr="00E12E31">
        <w:rPr>
          <w:color w:val="000000"/>
          <w:sz w:val="20"/>
          <w:szCs w:val="20"/>
        </w:rPr>
        <w:t xml:space="preserve">(ANEC-DOMAP-2015-G-033). Vznikla </w:t>
      </w:r>
      <w:proofErr w:type="gramStart"/>
      <w:r w:rsidRPr="00E12E31">
        <w:rPr>
          <w:color w:val="000000"/>
          <w:sz w:val="20"/>
          <w:szCs w:val="20"/>
        </w:rPr>
        <w:t>diskuse kde</w:t>
      </w:r>
      <w:proofErr w:type="gramEnd"/>
      <w:r w:rsidRPr="00E12E31">
        <w:rPr>
          <w:color w:val="000000"/>
          <w:sz w:val="20"/>
          <w:szCs w:val="20"/>
        </w:rPr>
        <w:t xml:space="preserve"> kromě bezpečnostních požadavků při užívání grilu byl i požadavek na umístění značky na obalu spotřebiče znázorňující varování před nebezpečím.</w:t>
      </w:r>
    </w:p>
    <w:p w:rsidR="00F36260" w:rsidRPr="00E12E31" w:rsidRDefault="00F36260" w:rsidP="00F36260">
      <w:pPr>
        <w:pStyle w:val="Odstavecseseznamem"/>
        <w:shd w:val="clear" w:color="auto" w:fill="FFFFFF"/>
        <w:spacing w:after="120" w:line="270" w:lineRule="atLeast"/>
        <w:ind w:left="916" w:right="-286"/>
        <w:jc w:val="both"/>
        <w:rPr>
          <w:color w:val="333333"/>
          <w:sz w:val="20"/>
          <w:szCs w:val="20"/>
        </w:rPr>
      </w:pPr>
      <w:r w:rsidRPr="00E12E31">
        <w:rPr>
          <w:color w:val="333333"/>
          <w:sz w:val="20"/>
          <w:szCs w:val="20"/>
        </w:rPr>
        <w:t>Aby byla minimalizována nebezpečí a případná rizika poranění, nebo škody, vyplývající z konstrukce a způsobu použití takového grilu, ANEC je názoru, aby varování před intoxikací CO a bezpečnostní značka (piktogram), které před nebezpečím spotřebitele varují, byly umístěny i na obalu grilu.</w:t>
      </w:r>
    </w:p>
    <w:p w:rsidR="00F36260" w:rsidRPr="00E12E31" w:rsidRDefault="00F36260" w:rsidP="00F36260">
      <w:pPr>
        <w:pStyle w:val="Odstavecseseznamem"/>
        <w:shd w:val="clear" w:color="auto" w:fill="FFFFFF"/>
        <w:spacing w:after="120" w:line="270" w:lineRule="atLeast"/>
        <w:ind w:left="916" w:right="-286"/>
        <w:jc w:val="both"/>
        <w:rPr>
          <w:sz w:val="20"/>
          <w:szCs w:val="20"/>
        </w:rPr>
      </w:pPr>
      <w:r w:rsidRPr="00E12E31">
        <w:rPr>
          <w:sz w:val="20"/>
          <w:szCs w:val="20"/>
        </w:rPr>
        <w:t xml:space="preserve">Konečná verze rozhodnutí Komise obsahuje  bezpečnostní požadavky pro </w:t>
      </w:r>
      <w:proofErr w:type="gramStart"/>
      <w:r w:rsidRPr="00E12E31">
        <w:rPr>
          <w:sz w:val="20"/>
          <w:szCs w:val="20"/>
        </w:rPr>
        <w:t>grily  s opisem</w:t>
      </w:r>
      <w:proofErr w:type="gramEnd"/>
      <w:r w:rsidRPr="00E12E31">
        <w:rPr>
          <w:sz w:val="20"/>
          <w:szCs w:val="20"/>
        </w:rPr>
        <w:t xml:space="preserve"> bezpečnostních varování a neobsahuje opis použité značky samotné varující před nebezpečím. Bude pak na samotné technické normě, aby zajistila technické řešení, které bude muset řešit rizika v souladu s bezpečnostními požadavky pro grily a to je úkolem technické komise CEN TC 281.</w:t>
      </w:r>
    </w:p>
    <w:p w:rsidR="00F36260" w:rsidRPr="00E12E31" w:rsidRDefault="00F36260" w:rsidP="00F36260">
      <w:pPr>
        <w:pStyle w:val="Odstavecseseznamem"/>
        <w:shd w:val="clear" w:color="auto" w:fill="FFFFFF"/>
        <w:spacing w:after="120" w:line="270" w:lineRule="atLeast"/>
        <w:ind w:left="916" w:right="-286"/>
        <w:jc w:val="both"/>
        <w:rPr>
          <w:sz w:val="20"/>
          <w:szCs w:val="20"/>
        </w:rPr>
      </w:pPr>
      <w:r w:rsidRPr="00E12E31">
        <w:rPr>
          <w:sz w:val="20"/>
          <w:szCs w:val="20"/>
        </w:rPr>
        <w:t>Na zasedání organizace pro bezpečnost spotřebitelů (</w:t>
      </w:r>
      <w:r w:rsidRPr="00E12E31">
        <w:rPr>
          <w:color w:val="000000"/>
          <w:sz w:val="20"/>
          <w:szCs w:val="20"/>
        </w:rPr>
        <w:t xml:space="preserve">Consumer </w:t>
      </w:r>
      <w:proofErr w:type="spellStart"/>
      <w:r w:rsidRPr="00E12E31">
        <w:rPr>
          <w:color w:val="000000"/>
          <w:sz w:val="20"/>
          <w:szCs w:val="20"/>
        </w:rPr>
        <w:t>Safety</w:t>
      </w:r>
      <w:proofErr w:type="spellEnd"/>
      <w:r w:rsidRPr="00E12E31">
        <w:rPr>
          <w:color w:val="000000"/>
          <w:sz w:val="20"/>
          <w:szCs w:val="20"/>
        </w:rPr>
        <w:t xml:space="preserve"> Network )</w:t>
      </w:r>
      <w:r w:rsidRPr="00E12E31">
        <w:rPr>
          <w:sz w:val="20"/>
          <w:szCs w:val="20"/>
        </w:rPr>
        <w:t xml:space="preserve"> v únoru 2016 byly diskutovány některé další připomínky od členských států. V důsledku toho byl rozeslán revidovaný návrh s požadavky na bezpečnost ke konečnému vyjádření.</w:t>
      </w:r>
    </w:p>
    <w:p w:rsidR="00F36260" w:rsidRPr="00E12E31" w:rsidRDefault="00F36260" w:rsidP="00F36260">
      <w:pPr>
        <w:pStyle w:val="Odstavecseseznamem"/>
        <w:shd w:val="clear" w:color="auto" w:fill="FFFFFF"/>
        <w:spacing w:after="120" w:line="270" w:lineRule="atLeast"/>
        <w:ind w:left="916" w:right="-286"/>
        <w:jc w:val="both"/>
        <w:rPr>
          <w:sz w:val="20"/>
          <w:szCs w:val="20"/>
        </w:rPr>
      </w:pPr>
      <w:r w:rsidRPr="00E12E31">
        <w:rPr>
          <w:sz w:val="20"/>
          <w:szCs w:val="20"/>
        </w:rPr>
        <w:lastRenderedPageBreak/>
        <w:t>Návrh rozhodnutí Komise ANEC plně podpořil a podporu i za ČR jsem odeslala s kopií na SČS  2016-03-08. (Probíhala i korespondence na toto téma s ÚNMZ jelikož i vyjádření požadovalo MPO)</w:t>
      </w:r>
    </w:p>
    <w:p w:rsidR="00F36260" w:rsidRPr="00E12E31" w:rsidRDefault="00F36260" w:rsidP="00F36260">
      <w:pPr>
        <w:pStyle w:val="Odstavecseseznamem"/>
        <w:numPr>
          <w:ilvl w:val="1"/>
          <w:numId w:val="41"/>
        </w:numPr>
        <w:spacing w:after="120"/>
        <w:ind w:left="1276" w:right="-286"/>
        <w:jc w:val="both"/>
        <w:rPr>
          <w:b/>
          <w:sz w:val="20"/>
          <w:szCs w:val="20"/>
        </w:rPr>
      </w:pPr>
      <w:proofErr w:type="spellStart"/>
      <w:r w:rsidRPr="00E12E31">
        <w:rPr>
          <w:b/>
          <w:sz w:val="20"/>
          <w:szCs w:val="20"/>
        </w:rPr>
        <w:t>MarketWatch</w:t>
      </w:r>
      <w:proofErr w:type="spellEnd"/>
    </w:p>
    <w:p w:rsidR="00F36260" w:rsidRPr="00E12E31" w:rsidRDefault="00F36260" w:rsidP="00F36260">
      <w:pPr>
        <w:pStyle w:val="Odstavecseseznamem"/>
        <w:shd w:val="clear" w:color="auto" w:fill="FFFFFF"/>
        <w:spacing w:after="120" w:line="270" w:lineRule="atLeast"/>
        <w:ind w:left="916" w:right="-286"/>
        <w:jc w:val="both"/>
        <w:rPr>
          <w:color w:val="000000"/>
          <w:sz w:val="20"/>
          <w:szCs w:val="20"/>
        </w:rPr>
      </w:pPr>
      <w:r w:rsidRPr="00E12E31">
        <w:rPr>
          <w:color w:val="000000"/>
          <w:sz w:val="20"/>
          <w:szCs w:val="20"/>
        </w:rPr>
        <w:t xml:space="preserve">Pro informaci a k případnému využití jsem z ANEC obdržela Příručku pro nevládní organizace a spotřebitele o energetických štítcích a požadavcích na </w:t>
      </w:r>
      <w:proofErr w:type="spellStart"/>
      <w:r w:rsidRPr="00E12E31">
        <w:rPr>
          <w:color w:val="000000"/>
          <w:sz w:val="20"/>
          <w:szCs w:val="20"/>
        </w:rPr>
        <w:t>ekodesign</w:t>
      </w:r>
      <w:proofErr w:type="spellEnd"/>
      <w:r w:rsidRPr="00E12E31">
        <w:rPr>
          <w:color w:val="000000"/>
          <w:sz w:val="20"/>
          <w:szCs w:val="20"/>
        </w:rPr>
        <w:t xml:space="preserve"> výrobků pro domácnost. Tato příručka je úvodem do nařízení EU o energetických štítcích a </w:t>
      </w:r>
      <w:proofErr w:type="spellStart"/>
      <w:r w:rsidRPr="00E12E31">
        <w:rPr>
          <w:color w:val="000000"/>
          <w:sz w:val="20"/>
          <w:szCs w:val="20"/>
        </w:rPr>
        <w:t>ekodesign</w:t>
      </w:r>
      <w:proofErr w:type="spellEnd"/>
      <w:r w:rsidRPr="00E12E31">
        <w:rPr>
          <w:color w:val="000000"/>
          <w:sz w:val="20"/>
          <w:szCs w:val="20"/>
        </w:rPr>
        <w:t xml:space="preserve"> výrobků, a jak soulad s těmito požadavky je možné snadno kontrolovat. Příručka byla vypracována podle financovaného EU projektu </w:t>
      </w:r>
      <w:proofErr w:type="spellStart"/>
      <w:r w:rsidRPr="00E12E31">
        <w:rPr>
          <w:color w:val="000000"/>
          <w:sz w:val="20"/>
          <w:szCs w:val="20"/>
        </w:rPr>
        <w:t>MarketWatch</w:t>
      </w:r>
      <w:proofErr w:type="spellEnd"/>
      <w:r w:rsidRPr="00E12E31">
        <w:rPr>
          <w:color w:val="000000"/>
          <w:sz w:val="20"/>
          <w:szCs w:val="20"/>
        </w:rPr>
        <w:t>, ve kterém ANEC se také aktivně účastní.</w:t>
      </w:r>
    </w:p>
    <w:p w:rsidR="00F36260" w:rsidRPr="00E12E31" w:rsidRDefault="00F36260" w:rsidP="00F36260">
      <w:pPr>
        <w:pStyle w:val="Odstavecseseznamem"/>
        <w:shd w:val="clear" w:color="auto" w:fill="FFFFFF"/>
        <w:spacing w:after="120" w:line="270" w:lineRule="atLeast"/>
        <w:ind w:left="916" w:right="-286"/>
        <w:jc w:val="both"/>
        <w:rPr>
          <w:color w:val="000000"/>
          <w:sz w:val="20"/>
          <w:szCs w:val="20"/>
        </w:rPr>
      </w:pPr>
      <w:proofErr w:type="spellStart"/>
      <w:r w:rsidRPr="00E12E31">
        <w:rPr>
          <w:color w:val="000000"/>
          <w:sz w:val="20"/>
          <w:szCs w:val="20"/>
        </w:rPr>
        <w:t>MarketWatch</w:t>
      </w:r>
      <w:proofErr w:type="spellEnd"/>
      <w:r w:rsidRPr="00E12E31">
        <w:rPr>
          <w:color w:val="000000"/>
          <w:sz w:val="20"/>
          <w:szCs w:val="20"/>
        </w:rPr>
        <w:t xml:space="preserve"> je celoevropská kampaň, která pomáhá identifikovat a upozornit na nevyhovující výrobky, nedostatek erudovaných prodejců a snaží se o dohled na evropské cíle v oblasti úspor energie.</w:t>
      </w:r>
    </w:p>
    <w:p w:rsidR="00F36260" w:rsidRPr="00E12E31" w:rsidRDefault="00F36260" w:rsidP="00F36260">
      <w:pPr>
        <w:pStyle w:val="Odstavecseseznamem"/>
        <w:shd w:val="clear" w:color="auto" w:fill="FFFFFF"/>
        <w:spacing w:after="120" w:line="270" w:lineRule="atLeast"/>
        <w:ind w:left="916" w:right="-286"/>
        <w:jc w:val="both"/>
        <w:rPr>
          <w:color w:val="000000"/>
          <w:sz w:val="20"/>
          <w:szCs w:val="20"/>
        </w:rPr>
      </w:pPr>
      <w:r w:rsidRPr="00E12E31">
        <w:rPr>
          <w:color w:val="000000"/>
          <w:sz w:val="20"/>
          <w:szCs w:val="20"/>
        </w:rPr>
        <w:t>Příručka je i v českém jazyce na webové adrese:</w:t>
      </w:r>
    </w:p>
    <w:p w:rsidR="00F36260" w:rsidRPr="00E12E31" w:rsidRDefault="00F36260" w:rsidP="00F36260">
      <w:pPr>
        <w:pStyle w:val="Odstavecseseznamem"/>
        <w:shd w:val="clear" w:color="auto" w:fill="FFFFFF"/>
        <w:spacing w:after="120" w:line="270" w:lineRule="atLeast"/>
        <w:ind w:left="916" w:right="-286"/>
        <w:jc w:val="both"/>
        <w:rPr>
          <w:color w:val="000000"/>
          <w:sz w:val="20"/>
          <w:szCs w:val="20"/>
        </w:rPr>
      </w:pPr>
      <w:hyperlink r:id="rId9" w:tgtFrame="_blank" w:history="1">
        <w:r w:rsidRPr="00E12E31">
          <w:rPr>
            <w:color w:val="0070C0"/>
            <w:sz w:val="20"/>
            <w:szCs w:val="20"/>
            <w:u w:val="single"/>
          </w:rPr>
          <w:t>http://www.market-watch.eu/resources/ngo-guide/</w:t>
        </w:r>
      </w:hyperlink>
    </w:p>
    <w:p w:rsidR="00F36260" w:rsidRPr="00E12E31" w:rsidRDefault="00F36260" w:rsidP="00F36260">
      <w:pPr>
        <w:pStyle w:val="Odstavecseseznamem"/>
        <w:shd w:val="clear" w:color="auto" w:fill="FFFFFF"/>
        <w:spacing w:after="120" w:line="270" w:lineRule="atLeast"/>
        <w:ind w:left="916" w:right="-286"/>
        <w:jc w:val="both"/>
        <w:rPr>
          <w:sz w:val="20"/>
          <w:szCs w:val="20"/>
        </w:rPr>
      </w:pPr>
      <w:r w:rsidRPr="00E12E31">
        <w:rPr>
          <w:sz w:val="20"/>
          <w:szCs w:val="20"/>
        </w:rPr>
        <w:t>Tuto informaci jsem předala členům TNK 33 – Domácí spotřebiče k možnému využití.</w:t>
      </w:r>
    </w:p>
    <w:p w:rsidR="00F36260" w:rsidRPr="00E12E31" w:rsidRDefault="00F36260" w:rsidP="00F36260">
      <w:pPr>
        <w:pStyle w:val="Odstavecseseznamem"/>
        <w:numPr>
          <w:ilvl w:val="1"/>
          <w:numId w:val="41"/>
        </w:numPr>
        <w:spacing w:after="120"/>
        <w:ind w:left="1276" w:right="-286"/>
        <w:jc w:val="both"/>
        <w:rPr>
          <w:b/>
          <w:sz w:val="20"/>
          <w:szCs w:val="20"/>
        </w:rPr>
      </w:pPr>
      <w:r w:rsidRPr="00E12E31">
        <w:rPr>
          <w:b/>
          <w:sz w:val="20"/>
          <w:szCs w:val="20"/>
        </w:rPr>
        <w:t>Možné škodlivé účinky LED záření na sítnici oka</w:t>
      </w:r>
    </w:p>
    <w:p w:rsidR="00F36260" w:rsidRPr="00E12E31" w:rsidRDefault="00F36260" w:rsidP="00F36260">
      <w:pPr>
        <w:spacing w:after="120"/>
        <w:ind w:left="916" w:right="-286"/>
        <w:jc w:val="both"/>
      </w:pPr>
      <w:proofErr w:type="spellStart"/>
      <w:r w:rsidRPr="00E12E31">
        <w:t>The</w:t>
      </w:r>
      <w:proofErr w:type="spellEnd"/>
      <w:r w:rsidRPr="00E12E31">
        <w:t xml:space="preserve"> Institute </w:t>
      </w:r>
      <w:proofErr w:type="spellStart"/>
      <w:r w:rsidRPr="00E12E31">
        <w:t>of</w:t>
      </w:r>
      <w:proofErr w:type="spellEnd"/>
      <w:r w:rsidRPr="00E12E31">
        <w:t xml:space="preserve"> </w:t>
      </w:r>
      <w:proofErr w:type="spellStart"/>
      <w:r w:rsidRPr="00E12E31">
        <w:t>Electrical</w:t>
      </w:r>
      <w:proofErr w:type="spellEnd"/>
      <w:r w:rsidRPr="00E12E31">
        <w:t xml:space="preserve"> and </w:t>
      </w:r>
      <w:proofErr w:type="spellStart"/>
      <w:r w:rsidRPr="00E12E31">
        <w:t>Electronics</w:t>
      </w:r>
      <w:proofErr w:type="spellEnd"/>
      <w:r w:rsidRPr="00E12E31">
        <w:t xml:space="preserve"> </w:t>
      </w:r>
      <w:proofErr w:type="spellStart"/>
      <w:r w:rsidRPr="00E12E31">
        <w:t>Engineers</w:t>
      </w:r>
      <w:proofErr w:type="spellEnd"/>
      <w:r w:rsidRPr="00E12E31">
        <w:t xml:space="preserve"> (IEEE) informoval Evropskou komisi o možných škodlivých účincích LED záření na sítnici oka, použitých v displejích počítačů, telefonů a televizorů. </w:t>
      </w:r>
    </w:p>
    <w:p w:rsidR="00F36260" w:rsidRPr="00E12E31" w:rsidRDefault="00F36260" w:rsidP="00F36260">
      <w:pPr>
        <w:spacing w:after="120"/>
        <w:ind w:left="916" w:right="-286"/>
        <w:jc w:val="both"/>
      </w:pPr>
      <w:r w:rsidRPr="00E12E31">
        <w:t>IEEE pracuje na vybudování aliance, s cílem stanovení vhodné úrovně záření pro bezpečné používání elektronických zobrazovacích zařízení. Tato aliance bude zahrnovat: prodejce / průmysl, regulační orgány, výzkumné ústavy a lékařskou veřejnost. Cíle této aliance bude:</w:t>
      </w:r>
    </w:p>
    <w:p w:rsidR="00F36260" w:rsidRPr="00E12E31" w:rsidRDefault="00F36260" w:rsidP="00F36260">
      <w:pPr>
        <w:ind w:left="916" w:right="-286"/>
        <w:jc w:val="both"/>
      </w:pPr>
      <w:r w:rsidRPr="00E12E31">
        <w:t>1) prověřit současný výzkum účinků záření LED</w:t>
      </w:r>
    </w:p>
    <w:p w:rsidR="00F36260" w:rsidRPr="00E12E31" w:rsidRDefault="00F36260" w:rsidP="00F36260">
      <w:pPr>
        <w:ind w:left="916" w:right="-286"/>
        <w:jc w:val="both"/>
      </w:pPr>
      <w:r w:rsidRPr="00E12E31">
        <w:t xml:space="preserve">2) vytvořit bezpečné limity záření při vlnové délce 450 </w:t>
      </w:r>
      <w:proofErr w:type="spellStart"/>
      <w:r w:rsidRPr="00E12E31">
        <w:t>nm</w:t>
      </w:r>
      <w:proofErr w:type="spellEnd"/>
    </w:p>
    <w:p w:rsidR="00F36260" w:rsidRPr="00E12E31" w:rsidRDefault="00F36260" w:rsidP="00F36260">
      <w:pPr>
        <w:ind w:left="916" w:right="-286"/>
        <w:jc w:val="both"/>
      </w:pPr>
      <w:r w:rsidRPr="00E12E31">
        <w:t>3) řešení současného problému s emisemi</w:t>
      </w:r>
    </w:p>
    <w:p w:rsidR="00F36260" w:rsidRPr="00E12E31" w:rsidRDefault="00F36260" w:rsidP="00F36260">
      <w:pPr>
        <w:spacing w:after="120"/>
        <w:ind w:left="916" w:right="-286"/>
        <w:jc w:val="both"/>
      </w:pPr>
      <w:r w:rsidRPr="00E12E31">
        <w:t>4) obhajovat regulaci ochrany veřejného zdraví</w:t>
      </w:r>
    </w:p>
    <w:p w:rsidR="00F36260" w:rsidRPr="00E12E31" w:rsidRDefault="00F36260" w:rsidP="00F36260">
      <w:pPr>
        <w:spacing w:after="120"/>
        <w:ind w:left="916" w:right="-286"/>
        <w:jc w:val="both"/>
      </w:pPr>
      <w:r w:rsidRPr="00E12E31">
        <w:t>Tyto LED zařízení spadají pod směrnice LVD nebo R &amp; TTE / ROT</w:t>
      </w:r>
    </w:p>
    <w:p w:rsidR="00F36260" w:rsidRPr="00E12E31" w:rsidRDefault="00F36260" w:rsidP="00F36260">
      <w:pPr>
        <w:spacing w:after="120"/>
        <w:ind w:left="916" w:right="-286"/>
        <w:jc w:val="both"/>
      </w:pPr>
      <w:r w:rsidRPr="00E12E31">
        <w:t>Informace jsou nezbytné pro vypracování mandátu, na kterém bude spolupracovat SCENIHR (Vědecký výbor pro vznikající a nově zjištěná zdravotní rizika), a IEEE.</w:t>
      </w:r>
    </w:p>
    <w:p w:rsidR="00F36260" w:rsidRPr="00E12E31" w:rsidRDefault="00F36260" w:rsidP="00F36260">
      <w:pPr>
        <w:spacing w:after="120"/>
        <w:ind w:left="916" w:right="-286"/>
        <w:jc w:val="both"/>
      </w:pPr>
      <w:r w:rsidRPr="00E12E31">
        <w:t xml:space="preserve">ANEC DOMAP požadoval zpětnou informaci , projednala jsem s TNK 67 – Světelné zdroje, která projednává a překládá normy s LED </w:t>
      </w:r>
      <w:proofErr w:type="gramStart"/>
      <w:r w:rsidRPr="00E12E31">
        <w:t>zdroji ale</w:t>
      </w:r>
      <w:proofErr w:type="gramEnd"/>
      <w:r w:rsidRPr="00E12E31">
        <w:t xml:space="preserve"> neprojevili zájem k této problematice zaujmout stanovisko. </w:t>
      </w:r>
    </w:p>
    <w:p w:rsidR="00F36260" w:rsidRPr="00E12E31" w:rsidRDefault="00F36260" w:rsidP="00F36260">
      <w:pPr>
        <w:spacing w:after="120"/>
        <w:ind w:left="916" w:right="-286"/>
        <w:jc w:val="both"/>
      </w:pPr>
      <w:r w:rsidRPr="00E12E31">
        <w:t xml:space="preserve">V tomto duchu jsem zaslala info WG DOMAP. </w:t>
      </w:r>
    </w:p>
    <w:p w:rsidR="00F36260" w:rsidRPr="00E12E31" w:rsidRDefault="00F36260" w:rsidP="00F36260">
      <w:pPr>
        <w:pStyle w:val="Odstavecseseznamem"/>
        <w:numPr>
          <w:ilvl w:val="1"/>
          <w:numId w:val="41"/>
        </w:numPr>
        <w:spacing w:after="120"/>
        <w:ind w:left="1276" w:right="-286"/>
        <w:jc w:val="both"/>
        <w:rPr>
          <w:b/>
          <w:sz w:val="20"/>
          <w:szCs w:val="20"/>
        </w:rPr>
      </w:pPr>
      <w:r w:rsidRPr="00E12E31">
        <w:rPr>
          <w:b/>
          <w:sz w:val="20"/>
          <w:szCs w:val="20"/>
        </w:rPr>
        <w:t>Podpora stanovisek ANEC k návrhům norem</w:t>
      </w:r>
    </w:p>
    <w:p w:rsidR="00F36260" w:rsidRPr="00E12E31" w:rsidRDefault="00F36260" w:rsidP="00F36260">
      <w:pPr>
        <w:pStyle w:val="Odstavecseseznamem"/>
        <w:numPr>
          <w:ilvl w:val="0"/>
          <w:numId w:val="37"/>
        </w:numPr>
        <w:spacing w:after="120"/>
        <w:ind w:left="1276" w:right="-286"/>
        <w:jc w:val="both"/>
        <w:rPr>
          <w:sz w:val="20"/>
          <w:szCs w:val="20"/>
        </w:rPr>
      </w:pPr>
      <w:r w:rsidRPr="00E12E31">
        <w:rPr>
          <w:sz w:val="20"/>
          <w:szCs w:val="20"/>
        </w:rPr>
        <w:t xml:space="preserve">Podpořili jsme na prosbu ANEC na národní úrovni schválení změn </w:t>
      </w:r>
      <w:r w:rsidRPr="00E12E31">
        <w:rPr>
          <w:sz w:val="20"/>
          <w:szCs w:val="20"/>
        </w:rPr>
        <w:br/>
        <w:t>EN ISO 5395-2/prA1 Zahradní zařízení - Bezpečnostní požadavky na sekačky na trávu poháněné spalovacím motorem - Část 2: Jednonápravové sekačky na trávu</w:t>
      </w:r>
    </w:p>
    <w:p w:rsidR="00F36260" w:rsidRPr="00E12E31" w:rsidRDefault="00F36260" w:rsidP="00F36260">
      <w:pPr>
        <w:pStyle w:val="Odstavecseseznamem"/>
        <w:numPr>
          <w:ilvl w:val="0"/>
          <w:numId w:val="37"/>
        </w:numPr>
        <w:spacing w:after="120"/>
        <w:ind w:left="1276" w:right="-286"/>
        <w:jc w:val="both"/>
        <w:rPr>
          <w:sz w:val="20"/>
          <w:szCs w:val="20"/>
        </w:rPr>
      </w:pPr>
      <w:r w:rsidRPr="00E12E31">
        <w:rPr>
          <w:sz w:val="20"/>
          <w:szCs w:val="20"/>
        </w:rPr>
        <w:t xml:space="preserve">EN ISO 5395-3/prA1 Zahradní zařízení - Bezpečnostní požadavky na sekačky na trávu poháněné spalovacím motorem - Část 3: </w:t>
      </w:r>
      <w:proofErr w:type="spellStart"/>
      <w:r w:rsidRPr="00E12E31">
        <w:rPr>
          <w:sz w:val="20"/>
          <w:szCs w:val="20"/>
        </w:rPr>
        <w:t>Ride</w:t>
      </w:r>
      <w:proofErr w:type="spellEnd"/>
      <w:r w:rsidRPr="00E12E31">
        <w:rPr>
          <w:sz w:val="20"/>
          <w:szCs w:val="20"/>
        </w:rPr>
        <w:t>-on sekačky na trávu se sedící obsluhou</w:t>
      </w:r>
    </w:p>
    <w:p w:rsidR="00F36260" w:rsidRPr="00E12E31" w:rsidRDefault="00F36260" w:rsidP="00F36260">
      <w:pPr>
        <w:pStyle w:val="Odstavecseseznamem"/>
        <w:spacing w:after="120"/>
        <w:ind w:left="1200" w:right="-286"/>
        <w:jc w:val="both"/>
        <w:rPr>
          <w:bCs/>
          <w:sz w:val="20"/>
          <w:szCs w:val="20"/>
        </w:rPr>
      </w:pPr>
      <w:r w:rsidRPr="00E12E31">
        <w:rPr>
          <w:bCs/>
          <w:sz w:val="20"/>
          <w:szCs w:val="20"/>
        </w:rPr>
        <w:t>O vypracovaných připomínkách ANEC k některým navrhovaným normám informuji i ÚNMZ, pro možné využití pro zpracovatele norem v dané oblasti.</w:t>
      </w:r>
    </w:p>
    <w:p w:rsidR="00F36260" w:rsidRPr="00E12E31" w:rsidRDefault="00F36260" w:rsidP="00F36260">
      <w:pPr>
        <w:pStyle w:val="Odstavecseseznamem"/>
        <w:numPr>
          <w:ilvl w:val="1"/>
          <w:numId w:val="41"/>
        </w:numPr>
        <w:spacing w:after="120"/>
        <w:ind w:left="1276" w:right="-286"/>
        <w:jc w:val="both"/>
        <w:rPr>
          <w:b/>
          <w:sz w:val="20"/>
          <w:szCs w:val="20"/>
        </w:rPr>
      </w:pPr>
      <w:r w:rsidRPr="00E12E31">
        <w:rPr>
          <w:b/>
          <w:sz w:val="20"/>
          <w:szCs w:val="20"/>
        </w:rPr>
        <w:t>PROSAFE – elektrické nářadí</w:t>
      </w:r>
    </w:p>
    <w:p w:rsidR="00F36260" w:rsidRPr="00E12E31" w:rsidRDefault="00F36260" w:rsidP="00F36260">
      <w:pPr>
        <w:spacing w:after="120"/>
        <w:ind w:left="916" w:right="-286"/>
        <w:jc w:val="both"/>
      </w:pPr>
      <w:r w:rsidRPr="00E12E31">
        <w:lastRenderedPageBreak/>
        <w:t xml:space="preserve">PROSAFE zahájila společnou akci dozoru nad </w:t>
      </w:r>
      <w:proofErr w:type="gramStart"/>
      <w:r w:rsidRPr="00E12E31">
        <w:t>trhem  na</w:t>
      </w:r>
      <w:proofErr w:type="gramEnd"/>
      <w:r w:rsidRPr="00E12E31">
        <w:t xml:space="preserve"> elektrické ruční nářadí v září loňského roku a zatím se soustřeďuje na ruční elektrické úhlové brusky.</w:t>
      </w:r>
    </w:p>
    <w:p w:rsidR="00F36260" w:rsidRPr="00E12E31" w:rsidRDefault="00F36260" w:rsidP="00F36260">
      <w:pPr>
        <w:spacing w:after="120"/>
        <w:ind w:left="916" w:right="-286"/>
        <w:jc w:val="both"/>
      </w:pPr>
      <w:r w:rsidRPr="00E12E31">
        <w:t xml:space="preserve">PROSAFE zamýšlí vytvořit seznam priorit pro elektrické nářadí, jelikož se očekává, že elektrické nářadí bude součástí budoucích opatření dozoru nad trhem. S přihlédnutím k analýze údajů o nehodách je jako priorita pro společnou akci pro příští rok zatím navrhována „kotoučová pila" a "příklepová vrtačka" </w:t>
      </w:r>
    </w:p>
    <w:p w:rsidR="00F36260" w:rsidRPr="00E12E31" w:rsidRDefault="00F36260" w:rsidP="00F36260">
      <w:pPr>
        <w:spacing w:after="120"/>
        <w:ind w:left="916" w:right="-286"/>
        <w:jc w:val="both"/>
      </w:pPr>
      <w:r w:rsidRPr="00E12E31">
        <w:t>PROSAFE zaslal ANEC informaci k vyjádření souhlasu se stanovenými prioritami nebo k uvedení jiného názoru.</w:t>
      </w:r>
    </w:p>
    <w:p w:rsidR="00F36260" w:rsidRPr="00E12E31" w:rsidRDefault="00F36260" w:rsidP="00F36260">
      <w:pPr>
        <w:spacing w:after="120"/>
        <w:ind w:left="916" w:right="-286"/>
        <w:jc w:val="both"/>
      </w:pPr>
      <w:r w:rsidRPr="00E12E31">
        <w:t xml:space="preserve">Souhlasila jsem s podporou ANEC k návrhu z PROSAFE organizovat budoucí činnosti dohledu nad </w:t>
      </w:r>
      <w:proofErr w:type="gramStart"/>
      <w:r w:rsidRPr="00E12E31">
        <w:t>společným  trhem</w:t>
      </w:r>
      <w:proofErr w:type="gramEnd"/>
      <w:r w:rsidRPr="00E12E31">
        <w:t xml:space="preserve"> pro elektrické nářadí na následující výrobky:</w:t>
      </w:r>
    </w:p>
    <w:p w:rsidR="00F36260" w:rsidRPr="00E12E31" w:rsidRDefault="00F36260" w:rsidP="00F36260">
      <w:pPr>
        <w:ind w:left="916" w:right="-286"/>
        <w:jc w:val="both"/>
      </w:pPr>
      <w:r w:rsidRPr="00E12E31">
        <w:t>- kotoučové pily</w:t>
      </w:r>
    </w:p>
    <w:p w:rsidR="00F36260" w:rsidRPr="00E12E31" w:rsidRDefault="00F36260" w:rsidP="00F36260">
      <w:pPr>
        <w:spacing w:after="120"/>
        <w:ind w:left="916" w:right="-286"/>
        <w:jc w:val="both"/>
      </w:pPr>
      <w:r w:rsidRPr="00E12E31">
        <w:t>- příklepové vrtačky</w:t>
      </w:r>
    </w:p>
    <w:p w:rsidR="00F36260" w:rsidRPr="00E12E31" w:rsidRDefault="00F36260" w:rsidP="00F36260">
      <w:pPr>
        <w:spacing w:after="120"/>
        <w:ind w:left="916" w:right="-286"/>
        <w:jc w:val="both"/>
      </w:pPr>
      <w:r w:rsidRPr="00E12E31">
        <w:t xml:space="preserve">(Odesláno do ANEC 2016-02-29 s kopií SČS) </w:t>
      </w:r>
    </w:p>
    <w:p w:rsidR="00F36260" w:rsidRPr="00E12E31" w:rsidRDefault="00F36260" w:rsidP="00F36260">
      <w:pPr>
        <w:spacing w:after="120"/>
        <w:ind w:right="-286"/>
        <w:jc w:val="both"/>
        <w:rPr>
          <w:bCs/>
        </w:rPr>
      </w:pPr>
      <w:r w:rsidRPr="00E12E31">
        <w:t>  </w:t>
      </w:r>
    </w:p>
    <w:p w:rsidR="00F36260" w:rsidRPr="00E12E31" w:rsidRDefault="00F36260" w:rsidP="00F36260">
      <w:pPr>
        <w:pStyle w:val="Odstavecseseznamem"/>
        <w:numPr>
          <w:ilvl w:val="0"/>
          <w:numId w:val="35"/>
        </w:numPr>
        <w:spacing w:after="120"/>
        <w:ind w:left="851" w:right="-286" w:hanging="425"/>
        <w:jc w:val="both"/>
        <w:rPr>
          <w:b/>
          <w:sz w:val="20"/>
          <w:szCs w:val="20"/>
        </w:rPr>
      </w:pPr>
      <w:proofErr w:type="gramStart"/>
      <w:r w:rsidRPr="00E12E31">
        <w:rPr>
          <w:b/>
          <w:sz w:val="20"/>
          <w:szCs w:val="20"/>
        </w:rPr>
        <w:t>Práce  v Technickýc</w:t>
      </w:r>
      <w:r>
        <w:rPr>
          <w:b/>
          <w:sz w:val="20"/>
          <w:szCs w:val="20"/>
        </w:rPr>
        <w:t>h</w:t>
      </w:r>
      <w:proofErr w:type="gramEnd"/>
      <w:r>
        <w:rPr>
          <w:b/>
          <w:sz w:val="20"/>
          <w:szCs w:val="20"/>
        </w:rPr>
        <w:t xml:space="preserve"> normalizačních komisích  ÚNMZ</w:t>
      </w:r>
      <w:r w:rsidRPr="00E12E31">
        <w:rPr>
          <w:b/>
          <w:sz w:val="20"/>
          <w:szCs w:val="20"/>
        </w:rPr>
        <w:t>, koordinace se zájmy spotřebitelů při tvorbě technických norem</w:t>
      </w:r>
    </w:p>
    <w:p w:rsidR="00F36260" w:rsidRPr="00E12E31" w:rsidRDefault="00F36260" w:rsidP="00F36260">
      <w:pPr>
        <w:spacing w:after="120"/>
        <w:ind w:left="851" w:right="-286"/>
        <w:jc w:val="both"/>
      </w:pPr>
      <w:r w:rsidRPr="00E12E31">
        <w:t xml:space="preserve">Práce v níže uvedených technických normalizačních komisích TNK, kde jsem jmenována SČS – Kabinetem pro standardizaci (TNK 33,67,87,21,26,90)  spočívá v </w:t>
      </w:r>
      <w:proofErr w:type="gramStart"/>
      <w:r w:rsidRPr="00E12E31">
        <w:t>uplatňováním</w:t>
      </w:r>
      <w:proofErr w:type="gramEnd"/>
      <w:r w:rsidRPr="00E12E31">
        <w:t xml:space="preserve"> požadavků na bezpečnost výrobků a tím i ochrany spotřebitele v řešených normalizačních otázkách a to jak v  návrzích na vypracování národních, evropských a mezinárodních norem tak i v návrzích na vypracování jiných normalizačních úkolů/projektů. Aktivní účast na projednávání dokumentů mezinárodní a evropské komise pro normalizaci IEC, CLC má za účel zapojení zájmů spotřebitelů do normalizace právě prostřednictvím TNK. </w:t>
      </w:r>
    </w:p>
    <w:p w:rsidR="00F36260" w:rsidRPr="00962F2F" w:rsidRDefault="00F36260" w:rsidP="00F36260">
      <w:pPr>
        <w:pStyle w:val="Odstavecseseznamem"/>
        <w:numPr>
          <w:ilvl w:val="0"/>
          <w:numId w:val="42"/>
        </w:numPr>
        <w:spacing w:after="120"/>
        <w:ind w:left="1134" w:right="-286" w:hanging="283"/>
        <w:jc w:val="both"/>
        <w:rPr>
          <w:b/>
          <w:sz w:val="20"/>
          <w:szCs w:val="20"/>
        </w:rPr>
      </w:pPr>
      <w:r w:rsidRPr="00962F2F">
        <w:rPr>
          <w:b/>
          <w:sz w:val="20"/>
          <w:szCs w:val="20"/>
        </w:rPr>
        <w:t>TNK 33 – Domácí spotřebiče a ruční nářadí</w:t>
      </w:r>
    </w:p>
    <w:p w:rsidR="00F36260" w:rsidRPr="00E12E31" w:rsidRDefault="00F36260" w:rsidP="00F36260">
      <w:pPr>
        <w:spacing w:after="120"/>
        <w:ind w:left="851" w:right="-286"/>
        <w:jc w:val="both"/>
      </w:pPr>
      <w:r w:rsidRPr="00E12E31">
        <w:t xml:space="preserve">Zasedání TNK se konalo </w:t>
      </w:r>
      <w:proofErr w:type="gramStart"/>
      <w:r w:rsidRPr="00E12E31">
        <w:t>21.10.2015</w:t>
      </w:r>
      <w:proofErr w:type="gramEnd"/>
      <w:r w:rsidRPr="00E12E31">
        <w:t xml:space="preserve"> s mojí účastí, zápis zaslán SČS.</w:t>
      </w:r>
    </w:p>
    <w:p w:rsidR="00F36260" w:rsidRPr="00E12E31" w:rsidRDefault="00F36260" w:rsidP="00F36260">
      <w:pPr>
        <w:spacing w:after="120"/>
        <w:ind w:left="851" w:right="-286"/>
        <w:jc w:val="both"/>
      </w:pPr>
      <w:r w:rsidRPr="00E12E31">
        <w:t xml:space="preserve">Rozsah působnosti TNK se vztahuje na bezpečnost a funkci domácích spotřebičů jejich automatických ovládacích zařízení a ručního nářadí. Vzhledem k mému členství expert v pracovní skupině pro domácí spotřebiče ANEC (WG DOMAP) informuji na každém zasedání TNK o činnosti WG o uplatňování strategie ochrany spotřebitele v jednotlivých návrzích norem z pohledu ANEC , kde je kladen důraz zejména na bezpečnost výrobků. Konzultuji stanoviska ANEC k dokumentům s členy TNK, zejména se zpracovatelem příslušných komisí CLC (TC 61, 59, 72) pro domácí spotřebiče, pokud se jedná o jejich podporu nebo odmítnutí nějakého návrhu. </w:t>
      </w:r>
    </w:p>
    <w:p w:rsidR="00F36260" w:rsidRPr="00E12E31" w:rsidRDefault="00F36260" w:rsidP="00F36260">
      <w:pPr>
        <w:spacing w:after="120"/>
        <w:ind w:left="851" w:right="-286"/>
        <w:jc w:val="both"/>
      </w:pPr>
      <w:r w:rsidRPr="00E12E31">
        <w:t>Průběžně zasílám stanoviska k projednávaným dokumentům a podle mojí potřeby konzultuji s jejími členy i opačně.</w:t>
      </w:r>
      <w:r>
        <w:t xml:space="preserve"> </w:t>
      </w:r>
      <w:r w:rsidRPr="00E12E31">
        <w:t>(předpokládané další zasedání bude v říjnu 2016)</w:t>
      </w:r>
    </w:p>
    <w:p w:rsidR="00F36260" w:rsidRPr="00962F2F" w:rsidRDefault="00F36260" w:rsidP="00F36260">
      <w:pPr>
        <w:pStyle w:val="Odstavecseseznamem"/>
        <w:numPr>
          <w:ilvl w:val="0"/>
          <w:numId w:val="42"/>
        </w:numPr>
        <w:spacing w:after="120"/>
        <w:ind w:left="1134" w:right="-286" w:hanging="283"/>
        <w:jc w:val="both"/>
        <w:rPr>
          <w:b/>
          <w:sz w:val="20"/>
          <w:szCs w:val="20"/>
        </w:rPr>
      </w:pPr>
      <w:r w:rsidRPr="00962F2F">
        <w:rPr>
          <w:b/>
          <w:sz w:val="20"/>
          <w:szCs w:val="20"/>
        </w:rPr>
        <w:t xml:space="preserve"> TNK 67 „Světelné zdroje, svítidla a jejich příslušenství</w:t>
      </w:r>
    </w:p>
    <w:p w:rsidR="00F36260" w:rsidRPr="00E12E31" w:rsidRDefault="00F36260" w:rsidP="00F36260">
      <w:pPr>
        <w:pStyle w:val="Normlnweb"/>
        <w:spacing w:before="0" w:beforeAutospacing="0" w:after="120" w:afterAutospacing="0" w:line="276" w:lineRule="auto"/>
        <w:ind w:left="851" w:right="-286"/>
        <w:jc w:val="both"/>
        <w:rPr>
          <w:sz w:val="20"/>
          <w:szCs w:val="20"/>
        </w:rPr>
      </w:pPr>
      <w:r w:rsidRPr="00E12E31">
        <w:rPr>
          <w:sz w:val="20"/>
          <w:szCs w:val="20"/>
        </w:rPr>
        <w:t xml:space="preserve"> Rozsah působnosti TNK se vztahuje na světelné zdroje, svítidla a přídavné komponenty pro které navrhují a vytvářejí technické normy technické komise IEC a CLC (IEC TC 34, CLC 34Z).</w:t>
      </w:r>
    </w:p>
    <w:p w:rsidR="00F36260" w:rsidRPr="00E12E31" w:rsidRDefault="00F36260" w:rsidP="00F36260">
      <w:pPr>
        <w:pStyle w:val="Normlnweb"/>
        <w:spacing w:before="0" w:beforeAutospacing="0" w:after="120" w:afterAutospacing="0" w:line="276" w:lineRule="auto"/>
        <w:ind w:left="851" w:right="-286"/>
        <w:jc w:val="both"/>
        <w:rPr>
          <w:sz w:val="20"/>
          <w:szCs w:val="20"/>
        </w:rPr>
      </w:pPr>
      <w:r w:rsidRPr="00E12E31">
        <w:rPr>
          <w:sz w:val="20"/>
          <w:szCs w:val="20"/>
        </w:rPr>
        <w:t xml:space="preserve">Z pohledu zájmu SČS ochrany spotřebitele je cíleným zájmem prosazování bezpečnosti jak před úrazem el. </w:t>
      </w:r>
      <w:proofErr w:type="gramStart"/>
      <w:r w:rsidRPr="00E12E31">
        <w:rPr>
          <w:sz w:val="20"/>
          <w:szCs w:val="20"/>
        </w:rPr>
        <w:t>proudem</w:t>
      </w:r>
      <w:proofErr w:type="gramEnd"/>
      <w:r w:rsidRPr="00E12E31">
        <w:rPr>
          <w:sz w:val="20"/>
          <w:szCs w:val="20"/>
        </w:rPr>
        <w:t xml:space="preserve">, tak před nebezpečím mechanického úrazu. Předmětem je i </w:t>
      </w:r>
      <w:proofErr w:type="spellStart"/>
      <w:r w:rsidRPr="00E12E31">
        <w:rPr>
          <w:sz w:val="20"/>
          <w:szCs w:val="20"/>
        </w:rPr>
        <w:t>enviromentální</w:t>
      </w:r>
      <w:proofErr w:type="spellEnd"/>
      <w:r w:rsidRPr="00E12E31">
        <w:rPr>
          <w:sz w:val="20"/>
          <w:szCs w:val="20"/>
        </w:rPr>
        <w:t xml:space="preserve"> bezpečnost (energetická náročnost, životnost, recyklace) zejména u světelných </w:t>
      </w:r>
      <w:proofErr w:type="gramStart"/>
      <w:r w:rsidRPr="00E12E31">
        <w:rPr>
          <w:sz w:val="20"/>
          <w:szCs w:val="20"/>
        </w:rPr>
        <w:t>zdrojů .</w:t>
      </w:r>
      <w:proofErr w:type="gramEnd"/>
      <w:r w:rsidRPr="00E12E31">
        <w:rPr>
          <w:sz w:val="20"/>
          <w:szCs w:val="20"/>
        </w:rPr>
        <w:t xml:space="preserve"> </w:t>
      </w:r>
    </w:p>
    <w:p w:rsidR="00F36260" w:rsidRPr="00E12E31" w:rsidRDefault="00F36260" w:rsidP="00F36260">
      <w:pPr>
        <w:pStyle w:val="Normlnweb"/>
        <w:spacing w:before="0" w:beforeAutospacing="0" w:after="120" w:afterAutospacing="0"/>
        <w:ind w:left="851" w:right="-286"/>
        <w:jc w:val="both"/>
        <w:rPr>
          <w:sz w:val="20"/>
          <w:szCs w:val="20"/>
        </w:rPr>
      </w:pPr>
      <w:r w:rsidRPr="00E12E31">
        <w:rPr>
          <w:sz w:val="20"/>
          <w:szCs w:val="20"/>
        </w:rPr>
        <w:lastRenderedPageBreak/>
        <w:t xml:space="preserve">Jelikož světelné zdroje a svítidla nejsou předmětem zájmu ANEC WG DOMAP, k předkládaným </w:t>
      </w:r>
      <w:proofErr w:type="gramStart"/>
      <w:r w:rsidRPr="00E12E31">
        <w:rPr>
          <w:sz w:val="20"/>
          <w:szCs w:val="20"/>
        </w:rPr>
        <w:t>dokumentům  se</w:t>
      </w:r>
      <w:proofErr w:type="gramEnd"/>
      <w:r w:rsidRPr="00E12E31">
        <w:rPr>
          <w:sz w:val="20"/>
          <w:szCs w:val="20"/>
        </w:rPr>
        <w:t xml:space="preserve"> vyjadřuji pouze jako expert SČS. </w:t>
      </w:r>
    </w:p>
    <w:p w:rsidR="00F36260" w:rsidRPr="00E12E31" w:rsidRDefault="00F36260" w:rsidP="00F36260">
      <w:pPr>
        <w:pStyle w:val="Normlnweb"/>
        <w:spacing w:before="0" w:beforeAutospacing="0" w:after="120" w:afterAutospacing="0"/>
        <w:ind w:left="851" w:right="-286"/>
        <w:jc w:val="both"/>
        <w:rPr>
          <w:sz w:val="20"/>
          <w:szCs w:val="20"/>
        </w:rPr>
      </w:pPr>
      <w:r w:rsidRPr="00E12E31">
        <w:rPr>
          <w:sz w:val="20"/>
          <w:szCs w:val="20"/>
        </w:rPr>
        <w:t xml:space="preserve">Zasedání TNK 67 dne </w:t>
      </w:r>
      <w:proofErr w:type="gramStart"/>
      <w:r w:rsidRPr="00E12E31">
        <w:rPr>
          <w:sz w:val="20"/>
          <w:szCs w:val="20"/>
        </w:rPr>
        <w:t>1.3.2016</w:t>
      </w:r>
      <w:proofErr w:type="gramEnd"/>
      <w:r w:rsidRPr="00E12E31">
        <w:rPr>
          <w:sz w:val="20"/>
          <w:szCs w:val="20"/>
        </w:rPr>
        <w:t xml:space="preserve"> jsem se s omluvou nemohla zúčastnit vzhledem k nepřízni počasí na cestě. Průběžně jsem informována, prostřednictvím databáze pro členy TNK, o všech dokumentech z technických komisí CLC a IEC (viz výše).  </w:t>
      </w:r>
    </w:p>
    <w:p w:rsidR="00F36260" w:rsidRPr="00962F2F" w:rsidRDefault="00F36260" w:rsidP="00F36260">
      <w:pPr>
        <w:pStyle w:val="Odstavecseseznamem"/>
        <w:numPr>
          <w:ilvl w:val="0"/>
          <w:numId w:val="42"/>
        </w:numPr>
        <w:spacing w:after="120"/>
        <w:ind w:left="1134" w:right="-286" w:hanging="283"/>
        <w:jc w:val="both"/>
        <w:rPr>
          <w:b/>
          <w:sz w:val="20"/>
          <w:szCs w:val="20"/>
        </w:rPr>
      </w:pPr>
      <w:r w:rsidRPr="00962F2F">
        <w:rPr>
          <w:b/>
          <w:sz w:val="20"/>
          <w:szCs w:val="20"/>
        </w:rPr>
        <w:t xml:space="preserve">TNK 87 „Audiovizuální technika a </w:t>
      </w:r>
      <w:proofErr w:type="spellStart"/>
      <w:r w:rsidRPr="00962F2F">
        <w:rPr>
          <w:b/>
          <w:sz w:val="20"/>
          <w:szCs w:val="20"/>
        </w:rPr>
        <w:t>ekodesign</w:t>
      </w:r>
      <w:proofErr w:type="spellEnd"/>
      <w:r w:rsidRPr="00962F2F">
        <w:rPr>
          <w:b/>
          <w:sz w:val="20"/>
          <w:szCs w:val="20"/>
        </w:rPr>
        <w:t xml:space="preserve">“,  </w:t>
      </w:r>
    </w:p>
    <w:p w:rsidR="00F36260" w:rsidRPr="00E12E31" w:rsidRDefault="00F36260" w:rsidP="00F36260">
      <w:pPr>
        <w:pStyle w:val="Normlnweb"/>
        <w:spacing w:before="0" w:beforeAutospacing="0" w:after="120" w:afterAutospacing="0" w:line="276" w:lineRule="auto"/>
        <w:ind w:left="851" w:right="-286"/>
        <w:jc w:val="both"/>
        <w:rPr>
          <w:sz w:val="20"/>
          <w:szCs w:val="20"/>
        </w:rPr>
      </w:pPr>
      <w:r w:rsidRPr="00E12E31">
        <w:rPr>
          <w:sz w:val="20"/>
          <w:szCs w:val="20"/>
        </w:rPr>
        <w:t xml:space="preserve">Rozsah působnosti TNK se vztahuje na audiovizuální techniku, informační technologii, elektroakustiku a </w:t>
      </w:r>
      <w:proofErr w:type="spellStart"/>
      <w:r w:rsidRPr="00E12E31">
        <w:rPr>
          <w:sz w:val="20"/>
          <w:szCs w:val="20"/>
        </w:rPr>
        <w:t>ekodesign</w:t>
      </w:r>
      <w:proofErr w:type="spellEnd"/>
      <w:r w:rsidRPr="00E12E31">
        <w:rPr>
          <w:sz w:val="20"/>
          <w:szCs w:val="20"/>
        </w:rPr>
        <w:t>, pro které navrhují a vytvářejí technické normy technické komise IEC a CLC (IEC TC 100, 29,111, CLC TC 100X, 111X)</w:t>
      </w:r>
    </w:p>
    <w:p w:rsidR="00F36260" w:rsidRPr="00E12E31" w:rsidRDefault="00F36260" w:rsidP="00F36260">
      <w:pPr>
        <w:pStyle w:val="Normlnweb"/>
        <w:spacing w:before="0" w:beforeAutospacing="0" w:after="120" w:afterAutospacing="0"/>
        <w:ind w:left="851" w:right="-286"/>
        <w:jc w:val="both"/>
        <w:rPr>
          <w:sz w:val="20"/>
          <w:szCs w:val="20"/>
        </w:rPr>
      </w:pPr>
      <w:r w:rsidRPr="00E12E31">
        <w:rPr>
          <w:sz w:val="20"/>
          <w:szCs w:val="20"/>
        </w:rPr>
        <w:t xml:space="preserve">Pro SČS je důležitá návaznost informací ANEC WG „ Design </w:t>
      </w:r>
      <w:proofErr w:type="spellStart"/>
      <w:r w:rsidRPr="00E12E31">
        <w:rPr>
          <w:sz w:val="20"/>
          <w:szCs w:val="20"/>
        </w:rPr>
        <w:t>for</w:t>
      </w:r>
      <w:proofErr w:type="spellEnd"/>
      <w:r w:rsidRPr="00E12E31">
        <w:rPr>
          <w:sz w:val="20"/>
          <w:szCs w:val="20"/>
        </w:rPr>
        <w:t xml:space="preserve"> </w:t>
      </w:r>
      <w:proofErr w:type="spellStart"/>
      <w:r w:rsidRPr="00E12E31">
        <w:rPr>
          <w:sz w:val="20"/>
          <w:szCs w:val="20"/>
        </w:rPr>
        <w:t>All</w:t>
      </w:r>
      <w:proofErr w:type="spellEnd"/>
      <w:r w:rsidRPr="00E12E31">
        <w:rPr>
          <w:sz w:val="20"/>
          <w:szCs w:val="20"/>
        </w:rPr>
        <w:t xml:space="preserve">“ do této TNK a zpětně při projednávání obecných stanovisek souvisejících s evropskými dokumenty týkající se </w:t>
      </w:r>
      <w:proofErr w:type="spellStart"/>
      <w:r w:rsidRPr="00E12E31">
        <w:rPr>
          <w:sz w:val="20"/>
          <w:szCs w:val="20"/>
        </w:rPr>
        <w:t>ecodesignu</w:t>
      </w:r>
      <w:proofErr w:type="spellEnd"/>
      <w:r w:rsidRPr="00E12E31">
        <w:rPr>
          <w:sz w:val="20"/>
          <w:szCs w:val="20"/>
        </w:rPr>
        <w:t>.</w:t>
      </w:r>
    </w:p>
    <w:p w:rsidR="00F36260" w:rsidRPr="00E12E31" w:rsidRDefault="00F36260" w:rsidP="00F36260">
      <w:pPr>
        <w:pStyle w:val="Normlnweb"/>
        <w:spacing w:before="0" w:beforeAutospacing="0" w:after="120" w:afterAutospacing="0"/>
        <w:ind w:left="851" w:right="-286"/>
        <w:jc w:val="both"/>
        <w:rPr>
          <w:sz w:val="20"/>
          <w:szCs w:val="20"/>
        </w:rPr>
      </w:pPr>
      <w:r w:rsidRPr="00E12E31">
        <w:rPr>
          <w:sz w:val="20"/>
          <w:szCs w:val="20"/>
        </w:rPr>
        <w:t>Zasedání TNK 87 se dosud nekonalo (předpoklad 2016/10)</w:t>
      </w:r>
    </w:p>
    <w:p w:rsidR="00F36260" w:rsidRPr="00E12E31" w:rsidRDefault="00F36260" w:rsidP="00F36260">
      <w:pPr>
        <w:pStyle w:val="Normlnweb"/>
        <w:spacing w:before="0" w:beforeAutospacing="0" w:after="120" w:afterAutospacing="0"/>
        <w:ind w:left="851" w:right="-286"/>
        <w:jc w:val="both"/>
        <w:rPr>
          <w:sz w:val="20"/>
          <w:szCs w:val="20"/>
        </w:rPr>
      </w:pPr>
      <w:r w:rsidRPr="00E12E31">
        <w:rPr>
          <w:sz w:val="20"/>
          <w:szCs w:val="20"/>
        </w:rPr>
        <w:t xml:space="preserve">Průběžně jsem informována, prostřednictvím databáze pro členy TNK, o všech dokumentech z technických komisí CLC a IEC (viz výše).  </w:t>
      </w:r>
    </w:p>
    <w:p w:rsidR="00F36260" w:rsidRPr="00962F2F" w:rsidRDefault="00F36260" w:rsidP="00F36260">
      <w:pPr>
        <w:pStyle w:val="Odstavecseseznamem"/>
        <w:numPr>
          <w:ilvl w:val="0"/>
          <w:numId w:val="42"/>
        </w:numPr>
        <w:spacing w:after="120"/>
        <w:ind w:left="1134" w:right="-286" w:hanging="283"/>
        <w:jc w:val="both"/>
        <w:rPr>
          <w:b/>
          <w:sz w:val="20"/>
          <w:szCs w:val="20"/>
        </w:rPr>
      </w:pPr>
      <w:r w:rsidRPr="00962F2F">
        <w:rPr>
          <w:b/>
          <w:sz w:val="20"/>
          <w:szCs w:val="20"/>
        </w:rPr>
        <w:t>TNK 21 – Terminologie v elektrotechnice</w:t>
      </w:r>
    </w:p>
    <w:p w:rsidR="00F36260" w:rsidRPr="00E12E31" w:rsidRDefault="00F36260" w:rsidP="00F36260">
      <w:pPr>
        <w:spacing w:after="120" w:line="276" w:lineRule="auto"/>
        <w:ind w:left="851" w:right="-286"/>
        <w:jc w:val="both"/>
      </w:pPr>
      <w:r w:rsidRPr="00E12E31">
        <w:t xml:space="preserve">TNK se zabývá řešením terminologických otázek ve všech oborech elektrotechniky, překladem slovníků IEC, vydávaných v IEC TC 1 a projednáváním návrhů nových termínů projednávaných v mezinárodní elektrotechnické komisi. Účast v této TNK svým zaměřením </w:t>
      </w:r>
      <w:proofErr w:type="gramStart"/>
      <w:r w:rsidRPr="00E12E31">
        <w:t xml:space="preserve">navazuje </w:t>
      </w:r>
      <w:proofErr w:type="spellStart"/>
      <w:r w:rsidRPr="00E12E31">
        <w:t>navazuje</w:t>
      </w:r>
      <w:proofErr w:type="spellEnd"/>
      <w:proofErr w:type="gramEnd"/>
      <w:r w:rsidRPr="00E12E31">
        <w:t xml:space="preserve"> na ostatní TNK, kterých jsem jako expert SČS členem.</w:t>
      </w:r>
    </w:p>
    <w:p w:rsidR="00F36260" w:rsidRPr="00E12E31" w:rsidRDefault="00F36260" w:rsidP="00F36260">
      <w:pPr>
        <w:pStyle w:val="Normlnweb"/>
        <w:spacing w:before="0" w:beforeAutospacing="0" w:after="120" w:afterAutospacing="0"/>
        <w:ind w:left="851" w:right="-286"/>
        <w:jc w:val="both"/>
        <w:rPr>
          <w:sz w:val="20"/>
          <w:szCs w:val="20"/>
        </w:rPr>
      </w:pPr>
      <w:r w:rsidRPr="00E12E31">
        <w:rPr>
          <w:sz w:val="20"/>
          <w:szCs w:val="20"/>
        </w:rPr>
        <w:t xml:space="preserve"> Zasedání TNK 21 se dosud nekonalo (předpoklad 2016/10)</w:t>
      </w:r>
    </w:p>
    <w:p w:rsidR="00F36260" w:rsidRPr="00962F2F" w:rsidRDefault="00F36260" w:rsidP="00F36260">
      <w:pPr>
        <w:pStyle w:val="Odstavecseseznamem"/>
        <w:numPr>
          <w:ilvl w:val="0"/>
          <w:numId w:val="42"/>
        </w:numPr>
        <w:spacing w:after="120"/>
        <w:ind w:left="1134" w:right="-286" w:hanging="283"/>
        <w:jc w:val="both"/>
        <w:rPr>
          <w:b/>
          <w:sz w:val="20"/>
          <w:szCs w:val="20"/>
        </w:rPr>
      </w:pPr>
      <w:r w:rsidRPr="00962F2F">
        <w:rPr>
          <w:b/>
          <w:sz w:val="20"/>
          <w:szCs w:val="20"/>
        </w:rPr>
        <w:t>TNK 26 Spotřebiče na plynná, kapalná a pevná paliva</w:t>
      </w:r>
    </w:p>
    <w:p w:rsidR="00F36260" w:rsidRPr="00E12E31" w:rsidRDefault="00F36260" w:rsidP="00F36260">
      <w:pPr>
        <w:spacing w:after="120" w:line="276" w:lineRule="auto"/>
        <w:ind w:left="851" w:right="-286"/>
        <w:jc w:val="both"/>
        <w:rPr>
          <w:color w:val="000000"/>
        </w:rPr>
      </w:pPr>
      <w:r w:rsidRPr="00E12E31">
        <w:rPr>
          <w:color w:val="000000"/>
        </w:rPr>
        <w:t>Normalizace v oboru zařízení na plynná, kapalná a pevná paliva pro</w:t>
      </w:r>
      <w:r w:rsidRPr="00E12E31">
        <w:rPr>
          <w:color w:val="000000"/>
        </w:rPr>
        <w:br/>
        <w:t>domácnost, komunální použití apod.</w:t>
      </w:r>
    </w:p>
    <w:p w:rsidR="00F36260" w:rsidRPr="00E12E31" w:rsidRDefault="00F36260" w:rsidP="00F36260">
      <w:pPr>
        <w:spacing w:after="120" w:line="276" w:lineRule="auto"/>
        <w:ind w:left="851" w:right="-286"/>
        <w:jc w:val="both"/>
        <w:rPr>
          <w:color w:val="000000"/>
        </w:rPr>
      </w:pPr>
      <w:r w:rsidRPr="00E12E31">
        <w:t>Průběžně jsem informována, prostřednictvím databáze pro členy TNK, o všech dokumentech z technické komise CEN 48,57,106,131.</w:t>
      </w:r>
    </w:p>
    <w:p w:rsidR="00F36260" w:rsidRPr="00962F2F" w:rsidRDefault="00F36260" w:rsidP="00F36260">
      <w:pPr>
        <w:pStyle w:val="Odstavecseseznamem"/>
        <w:numPr>
          <w:ilvl w:val="0"/>
          <w:numId w:val="42"/>
        </w:numPr>
        <w:spacing w:after="120"/>
        <w:ind w:left="1134" w:right="-286" w:hanging="283"/>
        <w:jc w:val="both"/>
        <w:rPr>
          <w:b/>
          <w:sz w:val="20"/>
          <w:szCs w:val="20"/>
        </w:rPr>
      </w:pPr>
      <w:r w:rsidRPr="00962F2F">
        <w:rPr>
          <w:b/>
          <w:sz w:val="20"/>
          <w:szCs w:val="20"/>
        </w:rPr>
        <w:t>TNK 90 Kotle pro ústřední vytápění</w:t>
      </w:r>
    </w:p>
    <w:p w:rsidR="00F36260" w:rsidRPr="00E12E31" w:rsidRDefault="00F36260" w:rsidP="00F36260">
      <w:pPr>
        <w:spacing w:after="120" w:line="276" w:lineRule="auto"/>
        <w:ind w:left="851" w:right="-286"/>
        <w:jc w:val="both"/>
        <w:rPr>
          <w:color w:val="000000"/>
        </w:rPr>
      </w:pPr>
      <w:r w:rsidRPr="00E12E31">
        <w:rPr>
          <w:color w:val="000000"/>
        </w:rPr>
        <w:t>Normalizace oboru kotlů pro ústřední vytápění (rozčleněné podle výkonů do</w:t>
      </w:r>
      <w:r w:rsidRPr="00E12E31">
        <w:rPr>
          <w:color w:val="000000"/>
        </w:rPr>
        <w:br/>
        <w:t>70 kW, od 70 kW do</w:t>
      </w:r>
      <w:bookmarkStart w:id="0" w:name="_GoBack"/>
      <w:bookmarkEnd w:id="0"/>
      <w:r w:rsidRPr="00E12E31">
        <w:rPr>
          <w:color w:val="000000"/>
        </w:rPr>
        <w:t xml:space="preserve"> 300 kW a vyšších výkonů), na pevná, kapalná i plynná</w:t>
      </w:r>
      <w:r w:rsidRPr="00E12E31">
        <w:rPr>
          <w:color w:val="000000"/>
        </w:rPr>
        <w:br/>
        <w:t>paliva včetně elektrokotlů a kotlů na odpadní teplo a terminologie.</w:t>
      </w:r>
    </w:p>
    <w:p w:rsidR="00F36260" w:rsidRPr="00962F2F" w:rsidRDefault="00F36260" w:rsidP="00F36260">
      <w:pPr>
        <w:spacing w:after="120" w:line="276" w:lineRule="auto"/>
        <w:ind w:left="851" w:right="-286"/>
        <w:jc w:val="both"/>
        <w:rPr>
          <w:color w:val="000000"/>
        </w:rPr>
      </w:pPr>
      <w:r w:rsidRPr="00962F2F">
        <w:rPr>
          <w:color w:val="000000"/>
        </w:rPr>
        <w:t>Průběžně jsem informována, prostřednictvím databáze pro členy TNK, o všech dokumentech z technické komise CEN 269</w:t>
      </w:r>
    </w:p>
    <w:p w:rsidR="00F36260" w:rsidRPr="00E12E31" w:rsidRDefault="00F36260" w:rsidP="00F36260">
      <w:pPr>
        <w:spacing w:after="120" w:line="276" w:lineRule="auto"/>
        <w:ind w:left="851" w:right="-286"/>
        <w:jc w:val="both"/>
      </w:pPr>
      <w:r w:rsidRPr="00E12E31">
        <w:t xml:space="preserve">V roce 2016 nebylo dosud avizováno zasedání této TNK. </w:t>
      </w:r>
    </w:p>
    <w:p w:rsidR="00F36260" w:rsidRPr="00E12E31" w:rsidRDefault="00F36260" w:rsidP="00F36260">
      <w:pPr>
        <w:pBdr>
          <w:bottom w:val="single" w:sz="12" w:space="1" w:color="auto"/>
        </w:pBdr>
        <w:spacing w:after="120" w:line="276" w:lineRule="auto"/>
        <w:ind w:left="142" w:right="-286"/>
        <w:jc w:val="both"/>
      </w:pPr>
    </w:p>
    <w:p w:rsidR="00F36260" w:rsidRPr="00E12E31" w:rsidRDefault="00F36260" w:rsidP="00F36260">
      <w:pPr>
        <w:spacing w:after="120" w:line="276" w:lineRule="auto"/>
        <w:ind w:left="142" w:right="-286"/>
        <w:jc w:val="both"/>
      </w:pPr>
      <w:r w:rsidRPr="00E12E31">
        <w:t>V Praze 2016-0</w:t>
      </w:r>
      <w:r>
        <w:t>5</w:t>
      </w:r>
      <w:r w:rsidRPr="00E12E31">
        <w:t>-15</w:t>
      </w:r>
    </w:p>
    <w:p w:rsidR="00C62AAE" w:rsidRPr="000B397E" w:rsidRDefault="00C62AAE" w:rsidP="00F36260">
      <w:pPr>
        <w:tabs>
          <w:tab w:val="num" w:pos="360"/>
          <w:tab w:val="num" w:pos="540"/>
        </w:tabs>
        <w:spacing w:after="120"/>
        <w:ind w:left="142" w:right="426"/>
        <w:jc w:val="both"/>
        <w:rPr>
          <w:sz w:val="22"/>
          <w:szCs w:val="22"/>
        </w:rPr>
      </w:pPr>
    </w:p>
    <w:sectPr w:rsidR="00C62AAE" w:rsidRPr="000B397E" w:rsidSect="00CA4A78">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86" w:rsidRDefault="00395786">
      <w:r>
        <w:separator/>
      </w:r>
    </w:p>
  </w:endnote>
  <w:endnote w:type="continuationSeparator" w:id="0">
    <w:p w:rsidR="00395786" w:rsidRDefault="0039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211DE" w:rsidRDefault="00D211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36260">
      <w:rPr>
        <w:rStyle w:val="slostrnky"/>
        <w:noProof/>
      </w:rPr>
      <w:t>5</w:t>
    </w:r>
    <w:r>
      <w:rPr>
        <w:rStyle w:val="slostrnky"/>
      </w:rPr>
      <w:fldChar w:fldCharType="end"/>
    </w:r>
  </w:p>
  <w:tbl>
    <w:tblPr>
      <w:tblW w:w="9709" w:type="dxa"/>
      <w:tblBorders>
        <w:top w:val="single" w:sz="4" w:space="0" w:color="auto"/>
      </w:tblBorders>
      <w:tblLayout w:type="fixed"/>
      <w:tblCellMar>
        <w:left w:w="70" w:type="dxa"/>
        <w:right w:w="70" w:type="dxa"/>
      </w:tblCellMar>
      <w:tblLook w:val="0000" w:firstRow="0" w:lastRow="0" w:firstColumn="0" w:lastColumn="0" w:noHBand="0" w:noVBand="0"/>
    </w:tblPr>
    <w:tblGrid>
      <w:gridCol w:w="2050"/>
      <w:gridCol w:w="3123"/>
      <w:gridCol w:w="3420"/>
      <w:gridCol w:w="1116"/>
    </w:tblGrid>
    <w:tr w:rsidR="00D211DE" w:rsidTr="004C7619">
      <w:trPr>
        <w:trHeight w:val="416"/>
      </w:trPr>
      <w:tc>
        <w:tcPr>
          <w:tcW w:w="2050" w:type="dxa"/>
        </w:tcPr>
        <w:p w:rsidR="00D211DE" w:rsidRDefault="00D211DE" w:rsidP="004C7619">
          <w:pPr>
            <w:spacing w:line="276" w:lineRule="auto"/>
            <w:rPr>
              <w:sz w:val="6"/>
            </w:rPr>
          </w:pPr>
        </w:p>
        <w:p w:rsidR="00D211DE" w:rsidRDefault="00BB07A6" w:rsidP="004C7619">
          <w:pPr>
            <w:spacing w:line="276" w:lineRule="auto"/>
          </w:pPr>
          <w:r>
            <w:rPr>
              <w:bCs/>
              <w:color w:val="7F7F7F" w:themeColor="text1" w:themeTint="80"/>
              <w:spacing w:val="10"/>
              <w:sz w:val="18"/>
              <w:szCs w:val="16"/>
            </w:rPr>
            <w:t>Pod Altánem 99/103, 100 00</w:t>
          </w:r>
          <w:r w:rsidRPr="00B36373">
            <w:rPr>
              <w:bCs/>
              <w:color w:val="7F7F7F" w:themeColor="text1" w:themeTint="80"/>
              <w:spacing w:val="10"/>
              <w:sz w:val="18"/>
              <w:szCs w:val="16"/>
            </w:rPr>
            <w:t xml:space="preserve"> Praha 10</w:t>
          </w:r>
        </w:p>
      </w:tc>
      <w:tc>
        <w:tcPr>
          <w:tcW w:w="3123" w:type="dxa"/>
        </w:tcPr>
        <w:p w:rsidR="00D211DE" w:rsidRDefault="00D211DE">
          <w:pPr>
            <w:jc w:val="right"/>
            <w:rPr>
              <w:sz w:val="18"/>
            </w:rPr>
          </w:pPr>
        </w:p>
      </w:tc>
      <w:tc>
        <w:tcPr>
          <w:tcW w:w="3420" w:type="dxa"/>
        </w:tcPr>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tel.: +420 261263574</w:t>
          </w:r>
        </w:p>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 xml:space="preserve">e-mail: </w:t>
          </w:r>
          <w:hyperlink r:id="rId1" w:history="1">
            <w:r w:rsidRPr="00BB07A6">
              <w:rPr>
                <w:bCs/>
                <w:color w:val="7F7F7F" w:themeColor="text1" w:themeTint="80"/>
                <w:spacing w:val="10"/>
                <w:sz w:val="16"/>
                <w:szCs w:val="16"/>
              </w:rPr>
              <w:t>normy@regio.cz</w:t>
            </w:r>
          </w:hyperlink>
          <w:r w:rsidRPr="00BB07A6">
            <w:rPr>
              <w:bCs/>
              <w:color w:val="7F7F7F" w:themeColor="text1" w:themeTint="80"/>
              <w:spacing w:val="10"/>
              <w:sz w:val="16"/>
              <w:szCs w:val="16"/>
            </w:rPr>
            <w:t xml:space="preserve">; </w:t>
          </w:r>
          <w:hyperlink r:id="rId2" w:history="1">
            <w:r w:rsidRPr="00BB07A6">
              <w:rPr>
                <w:bCs/>
                <w:color w:val="7F7F7F" w:themeColor="text1" w:themeTint="80"/>
                <w:spacing w:val="10"/>
                <w:sz w:val="16"/>
                <w:szCs w:val="16"/>
              </w:rPr>
              <w:t>spotřebitel@regio.cz</w:t>
            </w:r>
          </w:hyperlink>
          <w:r w:rsidRPr="00BB07A6">
            <w:rPr>
              <w:bCs/>
              <w:color w:val="7F7F7F" w:themeColor="text1" w:themeTint="80"/>
              <w:spacing w:val="10"/>
              <w:sz w:val="16"/>
              <w:szCs w:val="16"/>
            </w:rPr>
            <w:t xml:space="preserve">    </w:t>
          </w:r>
        </w:p>
        <w:p w:rsidR="00D211DE" w:rsidRPr="00BB07A6" w:rsidRDefault="00395786" w:rsidP="004C7619">
          <w:pPr>
            <w:jc w:val="right"/>
            <w:rPr>
              <w:bCs/>
              <w:color w:val="7F7F7F" w:themeColor="text1" w:themeTint="80"/>
              <w:spacing w:val="10"/>
              <w:sz w:val="16"/>
              <w:szCs w:val="16"/>
            </w:rPr>
          </w:pPr>
          <w:hyperlink r:id="rId3" w:history="1">
            <w:r w:rsidR="00D211DE" w:rsidRPr="00BB07A6">
              <w:rPr>
                <w:bCs/>
                <w:color w:val="7F7F7F" w:themeColor="text1" w:themeTint="80"/>
                <w:spacing w:val="10"/>
                <w:sz w:val="16"/>
                <w:szCs w:val="16"/>
              </w:rPr>
              <w:t>www.top-normy.cz</w:t>
            </w:r>
          </w:hyperlink>
          <w:r w:rsidR="004C7619" w:rsidRPr="00BB07A6">
            <w:rPr>
              <w:bCs/>
              <w:color w:val="7F7F7F" w:themeColor="text1" w:themeTint="80"/>
              <w:spacing w:val="10"/>
              <w:sz w:val="16"/>
              <w:szCs w:val="16"/>
            </w:rPr>
            <w:t xml:space="preserve">; </w:t>
          </w:r>
          <w:proofErr w:type="gramStart"/>
          <w:r w:rsidR="00D211DE" w:rsidRPr="00BB07A6">
            <w:rPr>
              <w:bCs/>
              <w:color w:val="7F7F7F" w:themeColor="text1" w:themeTint="80"/>
              <w:spacing w:val="10"/>
              <w:sz w:val="16"/>
              <w:szCs w:val="16"/>
            </w:rPr>
            <w:t>www</w:t>
          </w:r>
          <w:proofErr w:type="gramEnd"/>
          <w:r w:rsidR="00D211DE" w:rsidRPr="00BB07A6">
            <w:rPr>
              <w:bCs/>
              <w:color w:val="7F7F7F" w:themeColor="text1" w:themeTint="80"/>
              <w:spacing w:val="10"/>
              <w:sz w:val="16"/>
              <w:szCs w:val="16"/>
            </w:rPr>
            <w:t>.</w:t>
          </w:r>
          <w:proofErr w:type="gramStart"/>
          <w:r w:rsidR="00D211DE" w:rsidRPr="00BB07A6">
            <w:rPr>
              <w:bCs/>
              <w:color w:val="7F7F7F" w:themeColor="text1" w:themeTint="80"/>
              <w:spacing w:val="10"/>
              <w:sz w:val="16"/>
              <w:szCs w:val="16"/>
            </w:rPr>
            <w:t>konzument</w:t>
          </w:r>
          <w:proofErr w:type="gramEnd"/>
          <w:r w:rsidR="00D211DE" w:rsidRPr="00BB07A6">
            <w:rPr>
              <w:bCs/>
              <w:color w:val="7F7F7F" w:themeColor="text1" w:themeTint="80"/>
              <w:spacing w:val="10"/>
              <w:sz w:val="16"/>
              <w:szCs w:val="16"/>
            </w:rPr>
            <w:t>.cz</w:t>
          </w:r>
        </w:p>
      </w:tc>
      <w:tc>
        <w:tcPr>
          <w:tcW w:w="1116" w:type="dxa"/>
          <w:vAlign w:val="center"/>
        </w:tcPr>
        <w:p w:rsidR="00D211DE" w:rsidRPr="00BB07A6" w:rsidRDefault="00D211DE">
          <w:pPr>
            <w:jc w:val="right"/>
            <w:rPr>
              <w:bCs/>
              <w:color w:val="7F7F7F" w:themeColor="text1" w:themeTint="80"/>
              <w:spacing w:val="10"/>
              <w:sz w:val="16"/>
              <w:szCs w:val="16"/>
            </w:rPr>
          </w:pPr>
        </w:p>
        <w:p w:rsidR="00D211DE" w:rsidRPr="00BB07A6" w:rsidRDefault="00D211DE">
          <w:pPr>
            <w:jc w:val="right"/>
            <w:rPr>
              <w:bCs/>
              <w:color w:val="7F7F7F" w:themeColor="text1" w:themeTint="80"/>
              <w:spacing w:val="10"/>
              <w:sz w:val="16"/>
              <w:szCs w:val="16"/>
            </w:rPr>
          </w:pPr>
        </w:p>
      </w:tc>
    </w:tr>
  </w:tbl>
  <w:p w:rsidR="00D211DE" w:rsidRDefault="00D211DE">
    <w:pPr>
      <w:pStyle w:val="Zp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86" w:rsidRDefault="00395786">
      <w:r>
        <w:separator/>
      </w:r>
    </w:p>
  </w:footnote>
  <w:footnote w:type="continuationSeparator" w:id="0">
    <w:p w:rsidR="00395786" w:rsidRDefault="0039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4890"/>
      <w:gridCol w:w="4819"/>
    </w:tblGrid>
    <w:tr w:rsidR="00D211DE" w:rsidTr="00E6069E">
      <w:trPr>
        <w:trHeight w:val="977"/>
      </w:trPr>
      <w:tc>
        <w:tcPr>
          <w:tcW w:w="4890" w:type="dxa"/>
          <w:tcBorders>
            <w:top w:val="nil"/>
            <w:left w:val="nil"/>
            <w:bottom w:val="nil"/>
            <w:right w:val="nil"/>
          </w:tcBorders>
        </w:tcPr>
        <w:p w:rsidR="00D211DE" w:rsidRDefault="00F86228" w:rsidP="00E6069E">
          <w:r>
            <w:rPr>
              <w:noProof/>
            </w:rPr>
            <w:drawing>
              <wp:inline distT="0" distB="0" distL="0" distR="0" wp14:anchorId="42D6045A" wp14:editId="2771D327">
                <wp:extent cx="1666875" cy="704850"/>
                <wp:effectExtent l="0" t="0" r="9525" b="0"/>
                <wp:docPr id="1" name="obrázek 1" descr="logoKaStan_Cz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Stan_Cz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04850"/>
                        </a:xfrm>
                        <a:prstGeom prst="rect">
                          <a:avLst/>
                        </a:prstGeom>
                        <a:noFill/>
                        <a:ln>
                          <a:noFill/>
                        </a:ln>
                      </pic:spPr>
                    </pic:pic>
                  </a:graphicData>
                </a:graphic>
              </wp:inline>
            </w:drawing>
          </w:r>
        </w:p>
      </w:tc>
      <w:tc>
        <w:tcPr>
          <w:tcW w:w="4819" w:type="dxa"/>
          <w:tcBorders>
            <w:top w:val="nil"/>
            <w:left w:val="nil"/>
            <w:bottom w:val="nil"/>
            <w:right w:val="nil"/>
          </w:tcBorders>
        </w:tcPr>
        <w:p w:rsidR="00D211DE" w:rsidRPr="00E6069E" w:rsidRDefault="00CF463C" w:rsidP="00503D33">
          <w:pPr>
            <w:ind w:right="71"/>
            <w:jc w:val="right"/>
            <w:rPr>
              <w:sz w:val="8"/>
            </w:rPr>
          </w:pPr>
          <w:r>
            <w:rPr>
              <w:noProof/>
            </w:rPr>
            <w:drawing>
              <wp:inline distT="0" distB="0" distL="0" distR="0" wp14:anchorId="54BE4C91" wp14:editId="238C48DE">
                <wp:extent cx="2139456" cy="704850"/>
                <wp:effectExtent l="0" t="0" r="0" b="0"/>
                <wp:docPr id="3" name="Obrázek 3"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456" cy="704850"/>
                        </a:xfrm>
                        <a:prstGeom prst="rect">
                          <a:avLst/>
                        </a:prstGeom>
                        <a:noFill/>
                        <a:ln>
                          <a:noFill/>
                        </a:ln>
                      </pic:spPr>
                    </pic:pic>
                  </a:graphicData>
                </a:graphic>
              </wp:inline>
            </w:drawing>
          </w:r>
        </w:p>
      </w:tc>
    </w:tr>
    <w:tr w:rsidR="00D211DE" w:rsidTr="00E6069E">
      <w:trPr>
        <w:trHeight w:val="80"/>
      </w:trPr>
      <w:tc>
        <w:tcPr>
          <w:tcW w:w="4890" w:type="dxa"/>
          <w:tcBorders>
            <w:top w:val="nil"/>
            <w:bottom w:val="single" w:sz="18" w:space="0" w:color="333399"/>
          </w:tcBorders>
        </w:tcPr>
        <w:p w:rsidR="00D211DE" w:rsidRDefault="00D211DE">
          <w:pPr>
            <w:spacing w:line="360" w:lineRule="auto"/>
            <w:rPr>
              <w:sz w:val="6"/>
            </w:rPr>
          </w:pPr>
        </w:p>
      </w:tc>
      <w:tc>
        <w:tcPr>
          <w:tcW w:w="4819" w:type="dxa"/>
          <w:tcBorders>
            <w:top w:val="nil"/>
            <w:bottom w:val="single" w:sz="18" w:space="0" w:color="333399"/>
          </w:tcBorders>
          <w:vAlign w:val="center"/>
        </w:tcPr>
        <w:p w:rsidR="00D211DE" w:rsidRDefault="00D211DE" w:rsidP="00CE30FE">
          <w:pPr>
            <w:ind w:right="-70"/>
            <w:jc w:val="right"/>
            <w:rPr>
              <w:sz w:val="8"/>
            </w:rPr>
          </w:pPr>
        </w:p>
      </w:tc>
    </w:tr>
  </w:tbl>
  <w:p w:rsidR="00D211DE" w:rsidRPr="00D211DE" w:rsidRDefault="00D211DE" w:rsidP="00E6069E">
    <w:pPr>
      <w:pStyle w:val="Zhlav"/>
      <w:tabs>
        <w:tab w:val="clear" w:pos="9072"/>
        <w:tab w:val="right" w:pos="9356"/>
      </w:tabs>
      <w:ind w:right="284"/>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F88"/>
    <w:multiLevelType w:val="hybridMultilevel"/>
    <w:tmpl w:val="D57A50D8"/>
    <w:lvl w:ilvl="0" w:tplc="486A6A50">
      <w:start w:val="1"/>
      <w:numFmt w:val="lowerRoman"/>
      <w:lvlText w:val="%1."/>
      <w:lvlJc w:val="left"/>
      <w:pPr>
        <w:ind w:left="1724" w:hanging="360"/>
      </w:pPr>
      <w:rPr>
        <w:rFonts w:hint="default"/>
      </w:r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
    <w:nsid w:val="09734323"/>
    <w:multiLevelType w:val="hybridMultilevel"/>
    <w:tmpl w:val="A59E48B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B24B85"/>
    <w:multiLevelType w:val="hybridMultilevel"/>
    <w:tmpl w:val="F11C75F6"/>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282820"/>
    <w:multiLevelType w:val="hybridMultilevel"/>
    <w:tmpl w:val="263AEC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98B1164"/>
    <w:multiLevelType w:val="hybridMultilevel"/>
    <w:tmpl w:val="577803D8"/>
    <w:lvl w:ilvl="0" w:tplc="04050017">
      <w:start w:val="1"/>
      <w:numFmt w:val="lowerLetter"/>
      <w:lvlText w:val="%1)"/>
      <w:lvlJc w:val="left"/>
      <w:pPr>
        <w:tabs>
          <w:tab w:val="num" w:pos="720"/>
        </w:tabs>
        <w:ind w:left="720" w:hanging="360"/>
      </w:pPr>
      <w:rPr>
        <w:rFonts w:hint="default"/>
      </w:rPr>
    </w:lvl>
    <w:lvl w:ilvl="1" w:tplc="B64AD9E4">
      <w:start w:val="1"/>
      <w:numFmt w:val="decimal"/>
      <w:lvlText w:val="%2."/>
      <w:lvlJc w:val="left"/>
      <w:pPr>
        <w:tabs>
          <w:tab w:val="num" w:pos="1440"/>
        </w:tabs>
        <w:ind w:left="1440" w:hanging="360"/>
      </w:pPr>
      <w:rPr>
        <w:rFonts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1A5EBB"/>
    <w:multiLevelType w:val="hybridMultilevel"/>
    <w:tmpl w:val="F1E0C6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B149BD"/>
    <w:multiLevelType w:val="hybridMultilevel"/>
    <w:tmpl w:val="C978B8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5D6BC1"/>
    <w:multiLevelType w:val="hybridMultilevel"/>
    <w:tmpl w:val="39001C02"/>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257C377A"/>
    <w:multiLevelType w:val="hybridMultilevel"/>
    <w:tmpl w:val="EAE270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7EE22D1"/>
    <w:multiLevelType w:val="hybridMultilevel"/>
    <w:tmpl w:val="CF92B51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nsid w:val="2E1A54AE"/>
    <w:multiLevelType w:val="hybridMultilevel"/>
    <w:tmpl w:val="B11C151A"/>
    <w:lvl w:ilvl="0" w:tplc="FFFFFFFF">
      <w:start w:val="1"/>
      <w:numFmt w:val="decimal"/>
      <w:lvlText w:val="%1."/>
      <w:lvlJc w:val="left"/>
      <w:pPr>
        <w:tabs>
          <w:tab w:val="num" w:pos="1440"/>
        </w:tabs>
        <w:ind w:left="144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0A61B47"/>
    <w:multiLevelType w:val="hybridMultilevel"/>
    <w:tmpl w:val="36BC2FE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B67CF6"/>
    <w:multiLevelType w:val="multilevel"/>
    <w:tmpl w:val="445E60F0"/>
    <w:lvl w:ilvl="0">
      <w:start w:val="31"/>
      <w:numFmt w:val="decimalZero"/>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35400AE7"/>
    <w:multiLevelType w:val="hybridMultilevel"/>
    <w:tmpl w:val="CB0058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77B2B0F"/>
    <w:multiLevelType w:val="hybridMultilevel"/>
    <w:tmpl w:val="5884234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6A2A72"/>
    <w:multiLevelType w:val="hybridMultilevel"/>
    <w:tmpl w:val="F14C6F48"/>
    <w:lvl w:ilvl="0" w:tplc="120A68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D260C3C"/>
    <w:multiLevelType w:val="hybridMultilevel"/>
    <w:tmpl w:val="06D688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E0329F3"/>
    <w:multiLevelType w:val="hybridMultilevel"/>
    <w:tmpl w:val="01DE1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834E73"/>
    <w:multiLevelType w:val="hybridMultilevel"/>
    <w:tmpl w:val="9E1C1B7C"/>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35439BF"/>
    <w:multiLevelType w:val="hybridMultilevel"/>
    <w:tmpl w:val="3628294C"/>
    <w:lvl w:ilvl="0" w:tplc="0756E148">
      <w:start w:val="1"/>
      <w:numFmt w:val="lowerLetter"/>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0">
    <w:nsid w:val="435727B9"/>
    <w:multiLevelType w:val="hybridMultilevel"/>
    <w:tmpl w:val="41445E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51575EC"/>
    <w:multiLevelType w:val="hybridMultilevel"/>
    <w:tmpl w:val="E1064028"/>
    <w:lvl w:ilvl="0" w:tplc="058882EA">
      <w:start w:val="20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CE1B6F"/>
    <w:multiLevelType w:val="hybridMultilevel"/>
    <w:tmpl w:val="488C703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nsid w:val="48B04CF9"/>
    <w:multiLevelType w:val="hybridMultilevel"/>
    <w:tmpl w:val="31DC1B0C"/>
    <w:lvl w:ilvl="0" w:tplc="9A3C829C">
      <w:start w:val="1"/>
      <w:numFmt w:val="lowerLetter"/>
      <w:lvlText w:val="%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49950A6A"/>
    <w:multiLevelType w:val="hybridMultilevel"/>
    <w:tmpl w:val="8FECC490"/>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2F82C76"/>
    <w:multiLevelType w:val="hybridMultilevel"/>
    <w:tmpl w:val="CC94F6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2632A3"/>
    <w:multiLevelType w:val="hybridMultilevel"/>
    <w:tmpl w:val="6A40AF8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6B79EB"/>
    <w:multiLevelType w:val="hybridMultilevel"/>
    <w:tmpl w:val="735AD90A"/>
    <w:lvl w:ilvl="0" w:tplc="01489DE2">
      <w:start w:val="9"/>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54DF377E"/>
    <w:multiLevelType w:val="hybridMultilevel"/>
    <w:tmpl w:val="D5A019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5061BED"/>
    <w:multiLevelType w:val="hybridMultilevel"/>
    <w:tmpl w:val="F266B8EC"/>
    <w:lvl w:ilvl="0" w:tplc="FFFFFFFF">
      <w:start w:val="1"/>
      <w:numFmt w:val="bullet"/>
      <w:lvlText w:val="-"/>
      <w:lvlJc w:val="left"/>
      <w:pPr>
        <w:tabs>
          <w:tab w:val="num" w:pos="1077"/>
        </w:tabs>
        <w:ind w:left="1077" w:hanging="363"/>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nsid w:val="58E35169"/>
    <w:multiLevelType w:val="hybridMultilevel"/>
    <w:tmpl w:val="BA70DE4C"/>
    <w:lvl w:ilvl="0" w:tplc="9A3C829C">
      <w:start w:val="1"/>
      <w:numFmt w:val="lowerLetter"/>
      <w:lvlText w:val="%1."/>
      <w:lvlJc w:val="left"/>
      <w:pPr>
        <w:ind w:left="1004" w:hanging="360"/>
      </w:pPr>
      <w:rPr>
        <w:rFonts w:hint="default"/>
        <w:b/>
      </w:rPr>
    </w:lvl>
    <w:lvl w:ilvl="1" w:tplc="486A6A50">
      <w:start w:val="1"/>
      <w:numFmt w:val="lowerRoman"/>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59D87064"/>
    <w:multiLevelType w:val="hybridMultilevel"/>
    <w:tmpl w:val="87309F32"/>
    <w:lvl w:ilvl="0" w:tplc="F364CA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D2B04D3"/>
    <w:multiLevelType w:val="multilevel"/>
    <w:tmpl w:val="445E60F0"/>
    <w:lvl w:ilvl="0">
      <w:start w:val="31"/>
      <w:numFmt w:val="decimalZero"/>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64270222"/>
    <w:multiLevelType w:val="hybridMultilevel"/>
    <w:tmpl w:val="102A73F6"/>
    <w:lvl w:ilvl="0" w:tplc="07D03308">
      <w:numFmt w:val="bullet"/>
      <w:lvlText w:val=""/>
      <w:lvlJc w:val="left"/>
      <w:pPr>
        <w:tabs>
          <w:tab w:val="num" w:pos="360"/>
        </w:tabs>
        <w:ind w:left="360" w:hanging="360"/>
      </w:pPr>
      <w:rPr>
        <w:rFonts w:ascii="Symbol" w:eastAsia="Times New Roman" w:hAnsi="Symbol" w:cs="Times New Roman" w:hint="default"/>
        <w:color w:val="auto"/>
      </w:rPr>
    </w:lvl>
    <w:lvl w:ilvl="1" w:tplc="04050003">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34">
    <w:nsid w:val="681D624F"/>
    <w:multiLevelType w:val="hybridMultilevel"/>
    <w:tmpl w:val="2CA62D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D4B27B4"/>
    <w:multiLevelType w:val="hybridMultilevel"/>
    <w:tmpl w:val="98CA19B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nsid w:val="6EB74216"/>
    <w:multiLevelType w:val="hybridMultilevel"/>
    <w:tmpl w:val="01DE13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40818CB"/>
    <w:multiLevelType w:val="hybridMultilevel"/>
    <w:tmpl w:val="B47ED4B4"/>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5F57D2B"/>
    <w:multiLevelType w:val="hybridMultilevel"/>
    <w:tmpl w:val="4322BD1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91F6381"/>
    <w:multiLevelType w:val="hybridMultilevel"/>
    <w:tmpl w:val="F49A7036"/>
    <w:lvl w:ilvl="0" w:tplc="86B6829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BC45672"/>
    <w:multiLevelType w:val="hybridMultilevel"/>
    <w:tmpl w:val="1C986C1E"/>
    <w:lvl w:ilvl="0" w:tplc="B26A3CC0">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C0050EE"/>
    <w:multiLevelType w:val="hybridMultilevel"/>
    <w:tmpl w:val="F064C4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
  </w:num>
  <w:num w:numId="4">
    <w:abstractNumId w:val="4"/>
  </w:num>
  <w:num w:numId="5">
    <w:abstractNumId w:val="25"/>
  </w:num>
  <w:num w:numId="6">
    <w:abstractNumId w:val="19"/>
  </w:num>
  <w:num w:numId="7">
    <w:abstractNumId w:val="10"/>
  </w:num>
  <w:num w:numId="8">
    <w:abstractNumId w:val="41"/>
  </w:num>
  <w:num w:numId="9">
    <w:abstractNumId w:val="38"/>
  </w:num>
  <w:num w:numId="10">
    <w:abstractNumId w:val="5"/>
  </w:num>
  <w:num w:numId="11">
    <w:abstractNumId w:val="24"/>
  </w:num>
  <w:num w:numId="12">
    <w:abstractNumId w:val="18"/>
  </w:num>
  <w:num w:numId="13">
    <w:abstractNumId w:val="34"/>
  </w:num>
  <w:num w:numId="14">
    <w:abstractNumId w:val="6"/>
  </w:num>
  <w:num w:numId="15">
    <w:abstractNumId w:val="16"/>
  </w:num>
  <w:num w:numId="16">
    <w:abstractNumId w:val="13"/>
  </w:num>
  <w:num w:numId="17">
    <w:abstractNumId w:val="2"/>
  </w:num>
  <w:num w:numId="18">
    <w:abstractNumId w:val="37"/>
  </w:num>
  <w:num w:numId="19">
    <w:abstractNumId w:val="29"/>
  </w:num>
  <w:num w:numId="20">
    <w:abstractNumId w:val="11"/>
  </w:num>
  <w:num w:numId="21">
    <w:abstractNumId w:val="14"/>
  </w:num>
  <w:num w:numId="22">
    <w:abstractNumId w:val="33"/>
  </w:num>
  <w:num w:numId="23">
    <w:abstractNumId w:val="21"/>
  </w:num>
  <w:num w:numId="24">
    <w:abstractNumId w:val="39"/>
  </w:num>
  <w:num w:numId="25">
    <w:abstractNumId w:val="3"/>
  </w:num>
  <w:num w:numId="26">
    <w:abstractNumId w:val="8"/>
  </w:num>
  <w:num w:numId="27">
    <w:abstractNumId w:val="36"/>
  </w:num>
  <w:num w:numId="28">
    <w:abstractNumId w:val="17"/>
  </w:num>
  <w:num w:numId="29">
    <w:abstractNumId w:val="27"/>
  </w:num>
  <w:num w:numId="30">
    <w:abstractNumId w:val="12"/>
  </w:num>
  <w:num w:numId="31">
    <w:abstractNumId w:val="32"/>
  </w:num>
  <w:num w:numId="32">
    <w:abstractNumId w:val="28"/>
  </w:num>
  <w:num w:numId="33">
    <w:abstractNumId w:val="31"/>
  </w:num>
  <w:num w:numId="34">
    <w:abstractNumId w:val="26"/>
  </w:num>
  <w:num w:numId="35">
    <w:abstractNumId w:val="40"/>
  </w:num>
  <w:num w:numId="36">
    <w:abstractNumId w:val="23"/>
  </w:num>
  <w:num w:numId="37">
    <w:abstractNumId w:val="7"/>
  </w:num>
  <w:num w:numId="38">
    <w:abstractNumId w:val="35"/>
  </w:num>
  <w:num w:numId="39">
    <w:abstractNumId w:val="22"/>
  </w:num>
  <w:num w:numId="40">
    <w:abstractNumId w:val="9"/>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CE"/>
    <w:rsid w:val="00000BBB"/>
    <w:rsid w:val="000212DE"/>
    <w:rsid w:val="000A1CBC"/>
    <w:rsid w:val="000B397E"/>
    <w:rsid w:val="000E330A"/>
    <w:rsid w:val="00116459"/>
    <w:rsid w:val="001166A4"/>
    <w:rsid w:val="00141082"/>
    <w:rsid w:val="001B0E0F"/>
    <w:rsid w:val="001D1BC9"/>
    <w:rsid w:val="002230CA"/>
    <w:rsid w:val="00250C93"/>
    <w:rsid w:val="00277C59"/>
    <w:rsid w:val="00280435"/>
    <w:rsid w:val="002B761C"/>
    <w:rsid w:val="002C3C7F"/>
    <w:rsid w:val="002D094E"/>
    <w:rsid w:val="00326DCA"/>
    <w:rsid w:val="0033327E"/>
    <w:rsid w:val="00333B8E"/>
    <w:rsid w:val="00343356"/>
    <w:rsid w:val="00363535"/>
    <w:rsid w:val="00395786"/>
    <w:rsid w:val="003A7D01"/>
    <w:rsid w:val="004179B6"/>
    <w:rsid w:val="00491EFD"/>
    <w:rsid w:val="004C100B"/>
    <w:rsid w:val="004C7619"/>
    <w:rsid w:val="00503D33"/>
    <w:rsid w:val="005332C0"/>
    <w:rsid w:val="00544A87"/>
    <w:rsid w:val="00547DF2"/>
    <w:rsid w:val="00596128"/>
    <w:rsid w:val="005979AF"/>
    <w:rsid w:val="005B2F69"/>
    <w:rsid w:val="005F40F3"/>
    <w:rsid w:val="0060473E"/>
    <w:rsid w:val="00631BCE"/>
    <w:rsid w:val="00662932"/>
    <w:rsid w:val="00664BF3"/>
    <w:rsid w:val="00687028"/>
    <w:rsid w:val="007C0C67"/>
    <w:rsid w:val="007E29FE"/>
    <w:rsid w:val="00812B61"/>
    <w:rsid w:val="008135F0"/>
    <w:rsid w:val="00815610"/>
    <w:rsid w:val="00876265"/>
    <w:rsid w:val="0089064E"/>
    <w:rsid w:val="00891182"/>
    <w:rsid w:val="008A3042"/>
    <w:rsid w:val="009360CB"/>
    <w:rsid w:val="00997132"/>
    <w:rsid w:val="009C2F19"/>
    <w:rsid w:val="009D73EA"/>
    <w:rsid w:val="009F417D"/>
    <w:rsid w:val="00A102A2"/>
    <w:rsid w:val="00A50D21"/>
    <w:rsid w:val="00A56614"/>
    <w:rsid w:val="00A8392D"/>
    <w:rsid w:val="00AC5E8C"/>
    <w:rsid w:val="00AE6C43"/>
    <w:rsid w:val="00AF2662"/>
    <w:rsid w:val="00AF6E7B"/>
    <w:rsid w:val="00B2184E"/>
    <w:rsid w:val="00B311CE"/>
    <w:rsid w:val="00BB07A6"/>
    <w:rsid w:val="00BE61FF"/>
    <w:rsid w:val="00C02D2C"/>
    <w:rsid w:val="00C1067B"/>
    <w:rsid w:val="00C22D18"/>
    <w:rsid w:val="00C62AAE"/>
    <w:rsid w:val="00C74594"/>
    <w:rsid w:val="00C779CB"/>
    <w:rsid w:val="00CA4A78"/>
    <w:rsid w:val="00CE30FE"/>
    <w:rsid w:val="00CF463C"/>
    <w:rsid w:val="00D2042B"/>
    <w:rsid w:val="00D211DE"/>
    <w:rsid w:val="00D27474"/>
    <w:rsid w:val="00D963D1"/>
    <w:rsid w:val="00DE34F8"/>
    <w:rsid w:val="00E05348"/>
    <w:rsid w:val="00E41C48"/>
    <w:rsid w:val="00E47C33"/>
    <w:rsid w:val="00E6069E"/>
    <w:rsid w:val="00EC48DA"/>
    <w:rsid w:val="00F060CE"/>
    <w:rsid w:val="00F36260"/>
    <w:rsid w:val="00F4375C"/>
    <w:rsid w:val="00F85065"/>
    <w:rsid w:val="00F86228"/>
    <w:rsid w:val="00FB58D2"/>
    <w:rsid w:val="00FC0FBE"/>
    <w:rsid w:val="00FF0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 w:type="paragraph" w:styleId="Normlnweb">
    <w:name w:val="Normal (Web)"/>
    <w:basedOn w:val="Normln"/>
    <w:uiPriority w:val="99"/>
    <w:rsid w:val="000B39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 w:type="paragraph" w:styleId="Normlnweb">
    <w:name w:val="Normal (Web)"/>
    <w:basedOn w:val="Normln"/>
    <w:uiPriority w:val="99"/>
    <w:rsid w:val="000B39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8794">
      <w:bodyDiv w:val="1"/>
      <w:marLeft w:val="0"/>
      <w:marRight w:val="0"/>
      <w:marTop w:val="0"/>
      <w:marBottom w:val="0"/>
      <w:divBdr>
        <w:top w:val="none" w:sz="0" w:space="0" w:color="auto"/>
        <w:left w:val="none" w:sz="0" w:space="0" w:color="auto"/>
        <w:bottom w:val="none" w:sz="0" w:space="0" w:color="auto"/>
        <w:right w:val="none" w:sz="0" w:space="0" w:color="auto"/>
      </w:divBdr>
    </w:div>
    <w:div w:id="19974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et-watch.eu/resources/ngo-gui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top-normy.cz" TargetMode="External"/><Relationship Id="rId2" Type="http://schemas.openxmlformats.org/officeDocument/2006/relationships/hyperlink" Target="mailto:spot&#345;ebitel@regio.cz" TargetMode="External"/><Relationship Id="rId1" Type="http://schemas.openxmlformats.org/officeDocument/2006/relationships/hyperlink" Target="mailto:normy@regi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2032</Words>
  <Characters>11990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lpstr>
    </vt:vector>
  </TitlesOfParts>
  <Company>SCS</Company>
  <LinksUpToDate>false</LinksUpToDate>
  <CharactersWithSpaces>13995</CharactersWithSpaces>
  <SharedDoc>false</SharedDoc>
  <HLinks>
    <vt:vector size="18" baseType="variant">
      <vt:variant>
        <vt:i4>393284</vt:i4>
      </vt:variant>
      <vt:variant>
        <vt:i4>11</vt:i4>
      </vt:variant>
      <vt:variant>
        <vt:i4>0</vt:i4>
      </vt:variant>
      <vt:variant>
        <vt:i4>5</vt:i4>
      </vt:variant>
      <vt:variant>
        <vt:lpwstr>http://www.top-normy.cz/</vt:lpwstr>
      </vt:variant>
      <vt:variant>
        <vt:lpwstr/>
      </vt:variant>
      <vt:variant>
        <vt:i4>21233733</vt:i4>
      </vt:variant>
      <vt:variant>
        <vt:i4>8</vt:i4>
      </vt:variant>
      <vt:variant>
        <vt:i4>0</vt:i4>
      </vt:variant>
      <vt:variant>
        <vt:i4>5</vt:i4>
      </vt:variant>
      <vt:variant>
        <vt:lpwstr>mailto:spotřebitel@regio.cz</vt:lpwstr>
      </vt:variant>
      <vt:variant>
        <vt:lpwstr/>
      </vt:variant>
      <vt:variant>
        <vt:i4>1966122</vt:i4>
      </vt:variant>
      <vt:variant>
        <vt:i4>5</vt:i4>
      </vt:variant>
      <vt:variant>
        <vt:i4>0</vt:i4>
      </vt:variant>
      <vt:variant>
        <vt:i4>5</vt:i4>
      </vt:variant>
      <vt:variant>
        <vt:lpwstr>mailto:normy@regio.cz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Libor Dupal</dc:creator>
  <cp:lastModifiedBy>Dupal</cp:lastModifiedBy>
  <cp:revision>3</cp:revision>
  <cp:lastPrinted>2003-01-13T05:58:00Z</cp:lastPrinted>
  <dcterms:created xsi:type="dcterms:W3CDTF">2016-08-05T13:28:00Z</dcterms:created>
  <dcterms:modified xsi:type="dcterms:W3CDTF">2016-08-05T13:30:00Z</dcterms:modified>
</cp:coreProperties>
</file>