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Pr="00510131" w:rsidRDefault="00420062" w:rsidP="000E330A">
      <w:pPr>
        <w:spacing w:before="240" w:after="12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50</w:t>
      </w:r>
      <w:r w:rsidR="00812B61" w:rsidRPr="00510131">
        <w:rPr>
          <w:sz w:val="20"/>
          <w:szCs w:val="20"/>
        </w:rPr>
        <w:t xml:space="preserve"> Normalizace </w:t>
      </w:r>
      <w:r w:rsidR="00790BA3" w:rsidRPr="00510131">
        <w:rPr>
          <w:sz w:val="20"/>
          <w:szCs w:val="20"/>
        </w:rPr>
        <w:t>služby I</w:t>
      </w:r>
      <w:r w:rsidRPr="00510131">
        <w:rPr>
          <w:sz w:val="20"/>
          <w:szCs w:val="20"/>
        </w:rPr>
        <w:t>I</w:t>
      </w:r>
    </w:p>
    <w:p w:rsidR="00A8392D" w:rsidRPr="00510131" w:rsidRDefault="00420062" w:rsidP="000E330A">
      <w:pPr>
        <w:spacing w:before="240" w:after="12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55</w:t>
      </w:r>
      <w:r w:rsidR="00812B61" w:rsidRPr="00510131">
        <w:rPr>
          <w:sz w:val="20"/>
          <w:szCs w:val="20"/>
        </w:rPr>
        <w:t xml:space="preserve"> </w:t>
      </w:r>
      <w:r w:rsidRPr="00510131">
        <w:rPr>
          <w:sz w:val="20"/>
          <w:szCs w:val="20"/>
        </w:rPr>
        <w:t>ITC</w:t>
      </w:r>
      <w:r w:rsidR="00790BA3" w:rsidRPr="00510131">
        <w:rPr>
          <w:sz w:val="20"/>
          <w:szCs w:val="20"/>
        </w:rPr>
        <w:t xml:space="preserve"> služby</w:t>
      </w:r>
    </w:p>
    <w:p w:rsidR="00A8392D" w:rsidRPr="00510131" w:rsidRDefault="00A8392D" w:rsidP="000E330A">
      <w:pPr>
        <w:spacing w:before="240" w:after="12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Vývoj v roce 2015</w:t>
      </w:r>
      <w:r w:rsidR="00A567F2" w:rsidRPr="00510131">
        <w:rPr>
          <w:sz w:val="20"/>
          <w:szCs w:val="20"/>
        </w:rPr>
        <w:t xml:space="preserve"> - 16</w:t>
      </w:r>
      <w:r w:rsidRPr="00510131">
        <w:rPr>
          <w:sz w:val="20"/>
          <w:szCs w:val="20"/>
        </w:rPr>
        <w:t xml:space="preserve"> (zpracováno s podporou projektu FP švýcarsko-české spolupráce</w:t>
      </w:r>
      <w:r w:rsidR="00631BCE" w:rsidRPr="00510131">
        <w:rPr>
          <w:sz w:val="20"/>
          <w:szCs w:val="20"/>
        </w:rPr>
        <w:t>)</w:t>
      </w:r>
    </w:p>
    <w:p w:rsidR="00A8392D" w:rsidRPr="00510131" w:rsidRDefault="00A8392D" w:rsidP="000E330A">
      <w:pPr>
        <w:spacing w:before="240" w:after="120"/>
        <w:jc w:val="both"/>
        <w:rPr>
          <w:sz w:val="20"/>
          <w:szCs w:val="20"/>
        </w:rPr>
      </w:pPr>
      <w:r w:rsidRPr="00510131">
        <w:rPr>
          <w:noProof/>
          <w:sz w:val="20"/>
          <w:szCs w:val="20"/>
        </w:rPr>
        <w:drawing>
          <wp:inline distT="0" distB="0" distL="0" distR="0" wp14:anchorId="2972ECE7" wp14:editId="38F72239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20062" w:rsidRDefault="00420062" w:rsidP="00420062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Aktivita podporuje následující evropské politiky a právní předpisy: Roční Pracovní Program Evropská unie pro evropskou normalizaci na rok 2015; Postupový plán pro </w:t>
      </w:r>
      <w:proofErr w:type="gramStart"/>
      <w:r w:rsidRPr="00510131">
        <w:rPr>
          <w:sz w:val="20"/>
          <w:szCs w:val="20"/>
        </w:rPr>
        <w:t>normalizaci  ICT</w:t>
      </w:r>
      <w:proofErr w:type="gramEnd"/>
      <w:r w:rsidRPr="00510131">
        <w:rPr>
          <w:sz w:val="20"/>
          <w:szCs w:val="20"/>
        </w:rPr>
        <w:t>; Směrnice o rádiových zařízeních (2014/53 / EU); R &amp; TTE (1999/5 / EC); Směrnice o nízkém napětí (2006/95 / ES); Doporučení Rady (1999/519 / ES) o vystavení veřejnosti elektromagnetickým polím; Program EU pro spotřebitele 2020 (cíle: sladění práv a klíčových politik pro ekonomické a sociální změny, zvýšení ochrany spotřebitelů); Digitální agenda pro Evropu; Evropská strategie pro zdravotně postižené 2010-2020 (oblast činnosti: přístupnost); Směrnice o nízkém napětí (2006/95 / ES).</w:t>
      </w:r>
    </w:p>
    <w:p w:rsidR="00510131" w:rsidRPr="00510131" w:rsidRDefault="00510131" w:rsidP="00510131">
      <w:pPr>
        <w:pStyle w:val="Odstavecseseznamem"/>
        <w:spacing w:after="120"/>
        <w:ind w:left="0"/>
        <w:jc w:val="both"/>
        <w:rPr>
          <w:b/>
          <w:sz w:val="20"/>
          <w:szCs w:val="20"/>
        </w:rPr>
      </w:pPr>
      <w:r w:rsidRPr="00510131">
        <w:rPr>
          <w:b/>
          <w:sz w:val="20"/>
          <w:szCs w:val="20"/>
        </w:rPr>
        <w:t>Souhrn, příklady výstupů zapojení:</w:t>
      </w:r>
    </w:p>
    <w:p w:rsidR="00510131" w:rsidRPr="00510131" w:rsidRDefault="00510131" w:rsidP="00510131">
      <w:pPr>
        <w:pStyle w:val="Odstavecseseznamem"/>
        <w:numPr>
          <w:ilvl w:val="1"/>
          <w:numId w:val="34"/>
        </w:numPr>
        <w:spacing w:after="120" w:line="259" w:lineRule="auto"/>
        <w:ind w:right="-286"/>
        <w:rPr>
          <w:b/>
          <w:sz w:val="20"/>
          <w:szCs w:val="20"/>
        </w:rPr>
      </w:pPr>
      <w:r w:rsidRPr="00510131">
        <w:rPr>
          <w:b/>
          <w:sz w:val="20"/>
          <w:szCs w:val="20"/>
        </w:rPr>
        <w:t xml:space="preserve">Jednotný digitální trh - všeobecně, </w:t>
      </w:r>
      <w:hyperlink r:id="rId9" w:tooltip="E-obchod" w:history="1">
        <w:r w:rsidRPr="00510131">
          <w:rPr>
            <w:b/>
            <w:sz w:val="20"/>
            <w:szCs w:val="20"/>
          </w:rPr>
          <w:t>E-obchod</w:t>
        </w:r>
      </w:hyperlink>
      <w:r w:rsidRPr="00510131">
        <w:rPr>
          <w:b/>
          <w:sz w:val="20"/>
          <w:szCs w:val="20"/>
        </w:rPr>
        <w:t xml:space="preserve">,  </w:t>
      </w:r>
    </w:p>
    <w:p w:rsidR="00510131" w:rsidRPr="00510131" w:rsidRDefault="00510131" w:rsidP="00510131">
      <w:pPr>
        <w:spacing w:after="120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E-obchod patří mezi hlavní priority strategie nové Evropské komise v souvislosti s komplexní oblastí jednotného digitálního trhu. EK chystá opatření ke zlepšení efektivity, transparentnosti cen a posílení regulačního dohledu. Některé informace k tomu zprostředkováváme na stránkách </w:t>
      </w:r>
      <w:hyperlink r:id="rId10" w:history="1">
        <w:r w:rsidRPr="00510131">
          <w:rPr>
            <w:rStyle w:val="Hypertextovodkaz"/>
            <w:sz w:val="20"/>
            <w:szCs w:val="20"/>
          </w:rPr>
          <w:t>ZD</w:t>
        </w:r>
        <w:r w:rsidRPr="00510131">
          <w:rPr>
            <w:rStyle w:val="Hypertextovodkaz"/>
            <w:sz w:val="20"/>
            <w:szCs w:val="20"/>
          </w:rPr>
          <w:t>E</w:t>
        </w:r>
      </w:hyperlink>
      <w:r w:rsidRPr="00510131">
        <w:rPr>
          <w:sz w:val="20"/>
          <w:szCs w:val="20"/>
        </w:rPr>
        <w:t xml:space="preserve">. </w:t>
      </w:r>
    </w:p>
    <w:p w:rsidR="00510131" w:rsidRPr="00510131" w:rsidRDefault="00510131" w:rsidP="00510131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b/>
          <w:sz w:val="20"/>
          <w:szCs w:val="20"/>
        </w:rPr>
      </w:pPr>
      <w:proofErr w:type="spellStart"/>
      <w:r w:rsidRPr="00510131">
        <w:rPr>
          <w:b/>
          <w:sz w:val="20"/>
          <w:szCs w:val="20"/>
        </w:rPr>
        <w:t>European</w:t>
      </w:r>
      <w:proofErr w:type="spellEnd"/>
      <w:r w:rsidRPr="00510131">
        <w:rPr>
          <w:b/>
          <w:sz w:val="20"/>
          <w:szCs w:val="20"/>
        </w:rPr>
        <w:t xml:space="preserve"> </w:t>
      </w:r>
      <w:proofErr w:type="spellStart"/>
      <w:r w:rsidRPr="00510131">
        <w:rPr>
          <w:b/>
          <w:sz w:val="20"/>
          <w:szCs w:val="20"/>
        </w:rPr>
        <w:t>Multi-Stakeholder</w:t>
      </w:r>
      <w:proofErr w:type="spellEnd"/>
      <w:r w:rsidRPr="00510131">
        <w:rPr>
          <w:b/>
          <w:sz w:val="20"/>
          <w:szCs w:val="20"/>
        </w:rPr>
        <w:t xml:space="preserve"> - </w:t>
      </w:r>
      <w:proofErr w:type="spellStart"/>
      <w:r w:rsidRPr="00510131">
        <w:rPr>
          <w:b/>
          <w:sz w:val="20"/>
          <w:szCs w:val="20"/>
        </w:rPr>
        <w:t>Platform</w:t>
      </w:r>
      <w:proofErr w:type="spellEnd"/>
      <w:r w:rsidRPr="00510131">
        <w:rPr>
          <w:b/>
          <w:sz w:val="20"/>
          <w:szCs w:val="20"/>
        </w:rPr>
        <w:t xml:space="preserve"> on ICT </w:t>
      </w:r>
      <w:proofErr w:type="spellStart"/>
      <w:r w:rsidRPr="00510131">
        <w:rPr>
          <w:b/>
          <w:sz w:val="20"/>
          <w:szCs w:val="20"/>
        </w:rPr>
        <w:t>Standardization</w:t>
      </w:r>
      <w:proofErr w:type="spellEnd"/>
      <w:r w:rsidRPr="00510131">
        <w:rPr>
          <w:b/>
          <w:sz w:val="20"/>
          <w:szCs w:val="20"/>
        </w:rPr>
        <w:t xml:space="preserve"> (MSP)</w:t>
      </w:r>
    </w:p>
    <w:p w:rsidR="00510131" w:rsidRPr="00510131" w:rsidRDefault="00510131" w:rsidP="00510131">
      <w:pPr>
        <w:spacing w:after="120"/>
        <w:ind w:right="-286"/>
        <w:jc w:val="both"/>
        <w:rPr>
          <w:sz w:val="20"/>
          <w:szCs w:val="20"/>
        </w:rPr>
      </w:pPr>
      <w:r w:rsidRPr="00510131">
        <w:rPr>
          <w:color w:val="271957"/>
          <w:sz w:val="20"/>
          <w:szCs w:val="20"/>
          <w:shd w:val="clear" w:color="auto" w:fill="FFFFFF"/>
        </w:rPr>
        <w:t xml:space="preserve">V květnu 2016 se konalo zasedání </w:t>
      </w:r>
      <w:proofErr w:type="spellStart"/>
      <w:r w:rsidRPr="00510131">
        <w:rPr>
          <w:color w:val="271957"/>
          <w:sz w:val="20"/>
          <w:szCs w:val="20"/>
          <w:shd w:val="clear" w:color="auto" w:fill="FFFFFF"/>
        </w:rPr>
        <w:t>plaformy</w:t>
      </w:r>
      <w:proofErr w:type="spellEnd"/>
      <w:r w:rsidRPr="00510131">
        <w:rPr>
          <w:color w:val="271957"/>
          <w:sz w:val="20"/>
          <w:szCs w:val="20"/>
          <w:shd w:val="clear" w:color="auto" w:fill="FFFFFF"/>
        </w:rPr>
        <w:t xml:space="preserve"> pro standardizaci ICT.  Byl na něm přijat dokument pod názvem </w:t>
      </w:r>
      <w:proofErr w:type="spellStart"/>
      <w:r w:rsidRPr="00510131">
        <w:rPr>
          <w:color w:val="271957"/>
          <w:sz w:val="20"/>
          <w:szCs w:val="20"/>
          <w:shd w:val="clear" w:color="auto" w:fill="FFFFFF"/>
        </w:rPr>
        <w:t>Functioning</w:t>
      </w:r>
      <w:proofErr w:type="spellEnd"/>
      <w:r w:rsidRPr="00510131">
        <w:rPr>
          <w:color w:val="271957"/>
          <w:sz w:val="20"/>
          <w:szCs w:val="20"/>
          <w:shd w:val="clear" w:color="auto" w:fill="FFFFFF"/>
        </w:rPr>
        <w:t xml:space="preserve"> </w:t>
      </w:r>
      <w:proofErr w:type="spellStart"/>
      <w:r w:rsidRPr="00510131">
        <w:rPr>
          <w:color w:val="271957"/>
          <w:sz w:val="20"/>
          <w:szCs w:val="20"/>
          <w:shd w:val="clear" w:color="auto" w:fill="FFFFFF"/>
        </w:rPr>
        <w:t>of</w:t>
      </w:r>
      <w:proofErr w:type="spellEnd"/>
      <w:r w:rsidRPr="00510131">
        <w:rPr>
          <w:color w:val="271957"/>
          <w:sz w:val="20"/>
          <w:szCs w:val="20"/>
          <w:shd w:val="clear" w:color="auto" w:fill="FFFFFF"/>
        </w:rPr>
        <w:t xml:space="preserve"> MSP - </w:t>
      </w:r>
      <w:proofErr w:type="spellStart"/>
      <w:r w:rsidRPr="00510131">
        <w:rPr>
          <w:color w:val="271957"/>
          <w:sz w:val="20"/>
          <w:szCs w:val="20"/>
          <w:shd w:val="clear" w:color="auto" w:fill="FFFFFF"/>
        </w:rPr>
        <w:t>Tasks</w:t>
      </w:r>
      <w:proofErr w:type="spellEnd"/>
      <w:r w:rsidRPr="00510131">
        <w:rPr>
          <w:color w:val="271957"/>
          <w:sz w:val="20"/>
          <w:szCs w:val="20"/>
          <w:shd w:val="clear" w:color="auto" w:fill="FFFFFF"/>
        </w:rPr>
        <w:t xml:space="preserve"> &amp; </w:t>
      </w:r>
      <w:proofErr w:type="spellStart"/>
      <w:r w:rsidRPr="00510131">
        <w:rPr>
          <w:color w:val="271957"/>
          <w:sz w:val="20"/>
          <w:szCs w:val="20"/>
          <w:shd w:val="clear" w:color="auto" w:fill="FFFFFF"/>
        </w:rPr>
        <w:t>Rules</w:t>
      </w:r>
      <w:proofErr w:type="spellEnd"/>
      <w:r w:rsidRPr="00510131">
        <w:rPr>
          <w:color w:val="271957"/>
          <w:sz w:val="20"/>
          <w:szCs w:val="20"/>
          <w:shd w:val="clear" w:color="auto" w:fill="FFFFFF"/>
        </w:rPr>
        <w:t xml:space="preserve"> </w:t>
      </w:r>
      <w:proofErr w:type="spellStart"/>
      <w:r w:rsidRPr="00510131">
        <w:rPr>
          <w:color w:val="271957"/>
          <w:sz w:val="20"/>
          <w:szCs w:val="20"/>
          <w:shd w:val="clear" w:color="auto" w:fill="FFFFFF"/>
        </w:rPr>
        <w:t>of</w:t>
      </w:r>
      <w:proofErr w:type="spellEnd"/>
      <w:r w:rsidRPr="00510131">
        <w:rPr>
          <w:color w:val="271957"/>
          <w:sz w:val="20"/>
          <w:szCs w:val="20"/>
          <w:shd w:val="clear" w:color="auto" w:fill="FFFFFF"/>
        </w:rPr>
        <w:t xml:space="preserve"> </w:t>
      </w:r>
      <w:proofErr w:type="spellStart"/>
      <w:r w:rsidRPr="00510131">
        <w:rPr>
          <w:color w:val="271957"/>
          <w:sz w:val="20"/>
          <w:szCs w:val="20"/>
          <w:shd w:val="clear" w:color="auto" w:fill="FFFFFF"/>
        </w:rPr>
        <w:t>Procedure</w:t>
      </w:r>
      <w:proofErr w:type="spellEnd"/>
      <w:r w:rsidRPr="00510131">
        <w:rPr>
          <w:color w:val="271957"/>
          <w:sz w:val="20"/>
          <w:szCs w:val="20"/>
          <w:shd w:val="clear" w:color="auto" w:fill="FFFFFF"/>
        </w:rPr>
        <w:t>, který nabízíme</w:t>
      </w:r>
      <w:r w:rsidRPr="00510131">
        <w:rPr>
          <w:rStyle w:val="apple-converted-space"/>
          <w:color w:val="271957"/>
          <w:sz w:val="20"/>
          <w:szCs w:val="20"/>
          <w:shd w:val="clear" w:color="auto" w:fill="FFFFFF"/>
        </w:rPr>
        <w:t> </w:t>
      </w:r>
      <w:hyperlink r:id="rId11" w:tooltip="55_a-405-Functioning-of-MSP-Rules-of-Procedures-1.docx" w:history="1">
        <w:r w:rsidRPr="00510131">
          <w:rPr>
            <w:rStyle w:val="Hypertextovodkaz"/>
            <w:sz w:val="20"/>
            <w:szCs w:val="20"/>
            <w:shd w:val="clear" w:color="auto" w:fill="FFFFFF"/>
          </w:rPr>
          <w:t>Zde</w:t>
        </w:r>
      </w:hyperlink>
      <w:r w:rsidRPr="00510131">
        <w:rPr>
          <w:color w:val="271957"/>
          <w:sz w:val="20"/>
          <w:szCs w:val="20"/>
          <w:shd w:val="clear" w:color="auto" w:fill="FFFFFF"/>
        </w:rPr>
        <w:t xml:space="preserve">. (Vystavit). ANEC zastupoval spotřebitele, pozice ANEC je k dispozici </w:t>
      </w:r>
      <w:hyperlink r:id="rId12" w:tooltip="55_a-ANEC-DIGITAL-2016-G-050.doc" w:history="1">
        <w:r w:rsidRPr="00510131">
          <w:rPr>
            <w:rStyle w:val="Hypertextovodkaz"/>
            <w:sz w:val="20"/>
            <w:szCs w:val="20"/>
            <w:shd w:val="clear" w:color="auto" w:fill="FFFFFF"/>
          </w:rPr>
          <w:t>Zde</w:t>
        </w:r>
      </w:hyperlink>
      <w:r w:rsidRPr="00510131">
        <w:rPr>
          <w:color w:val="271957"/>
          <w:sz w:val="20"/>
          <w:szCs w:val="20"/>
          <w:shd w:val="clear" w:color="auto" w:fill="FFFFFF"/>
        </w:rPr>
        <w:t>.</w:t>
      </w:r>
    </w:p>
    <w:p w:rsidR="00510131" w:rsidRPr="00510131" w:rsidRDefault="00510131" w:rsidP="00510131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b/>
          <w:sz w:val="20"/>
          <w:szCs w:val="20"/>
        </w:rPr>
      </w:pPr>
      <w:r w:rsidRPr="00510131">
        <w:rPr>
          <w:b/>
          <w:sz w:val="20"/>
          <w:szCs w:val="20"/>
        </w:rPr>
        <w:t xml:space="preserve">Dokument o e-přístupnosti </w:t>
      </w:r>
    </w:p>
    <w:p w:rsidR="00510131" w:rsidRPr="00510131" w:rsidRDefault="00510131" w:rsidP="00510131">
      <w:pPr>
        <w:pStyle w:val="Odstavecseseznamem"/>
        <w:spacing w:after="120"/>
        <w:ind w:left="0"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Dokument – </w:t>
      </w:r>
      <w:hyperlink r:id="rId13" w:history="1">
        <w:r w:rsidRPr="00510131">
          <w:rPr>
            <w:rStyle w:val="Hypertextovodkaz"/>
            <w:sz w:val="20"/>
            <w:szCs w:val="20"/>
          </w:rPr>
          <w:t>ZDE</w:t>
        </w:r>
      </w:hyperlink>
      <w:r w:rsidRPr="00510131">
        <w:rPr>
          <w:sz w:val="20"/>
          <w:szCs w:val="20"/>
        </w:rPr>
        <w:t xml:space="preserve">  rovněž obsahuje příspěvek ze strany ANEC na téma "Jak můžeme standardy a právní předpisy naplnit potřeby všech spotřebitelů".</w:t>
      </w:r>
    </w:p>
    <w:p w:rsidR="00510131" w:rsidRPr="00510131" w:rsidRDefault="00510131" w:rsidP="00510131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b/>
          <w:sz w:val="20"/>
          <w:szCs w:val="20"/>
        </w:rPr>
      </w:pPr>
      <w:r w:rsidRPr="00510131">
        <w:rPr>
          <w:b/>
          <w:sz w:val="20"/>
          <w:szCs w:val="20"/>
        </w:rPr>
        <w:t>Priority Evropské komise pro služby ICT</w:t>
      </w:r>
    </w:p>
    <w:p w:rsidR="00510131" w:rsidRPr="00510131" w:rsidRDefault="00510131" w:rsidP="00510131">
      <w:pPr>
        <w:spacing w:after="120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Strategie jednotného digitálního trhu (DSM - více </w:t>
      </w:r>
      <w:hyperlink r:id="rId14" w:history="1">
        <w:r w:rsidRPr="00510131">
          <w:rPr>
            <w:rStyle w:val="Hypertextovodkaz"/>
            <w:sz w:val="20"/>
            <w:szCs w:val="20"/>
          </w:rPr>
          <w:t>ZDE</w:t>
        </w:r>
      </w:hyperlink>
      <w:r w:rsidRPr="00510131">
        <w:rPr>
          <w:sz w:val="20"/>
          <w:szCs w:val="20"/>
        </w:rPr>
        <w:t xml:space="preserve">) nastiňuje plán priorit normalizace v oblasti ICT. Konzultace o normách pro jednotný digitální trh byla otevřena do konce ledna. V prosinci loňského roku spotřebitelé ve spolupráci s ANEC reagovali na tuto veřejnou diskuzi – více </w:t>
      </w:r>
      <w:hyperlink r:id="rId15" w:history="1">
        <w:r w:rsidRPr="00510131">
          <w:rPr>
            <w:rStyle w:val="Hypertextovodkaz"/>
            <w:sz w:val="20"/>
            <w:szCs w:val="20"/>
          </w:rPr>
          <w:t>ZDE</w:t>
        </w:r>
      </w:hyperlink>
      <w:r w:rsidRPr="00510131">
        <w:rPr>
          <w:rStyle w:val="Hypertextovodkaz"/>
          <w:sz w:val="20"/>
          <w:szCs w:val="20"/>
        </w:rPr>
        <w:t>.</w:t>
      </w:r>
      <w:r w:rsidRPr="00510131">
        <w:rPr>
          <w:sz w:val="20"/>
          <w:szCs w:val="20"/>
        </w:rPr>
        <w:t xml:space="preserve"> Zdůraznili, že digitální technologie mají velký vliv nejen na spotřebitele, ale také na podniky a business. Normy mohou pomoci naplnit potřeby spotřebitelů, zejména ty, které se týkají ochrany osobních údajů a přístupnosti služeb všem spotřebitelů, tedy i hendikepovaným. Bez důvěryhodného zajištění ochrany spotřebitelů není možné optimalizovat poptávku po digitálních produktech a službách.</w:t>
      </w:r>
    </w:p>
    <w:p w:rsidR="00510131" w:rsidRPr="00510131" w:rsidRDefault="00510131" w:rsidP="00510131">
      <w:pPr>
        <w:spacing w:after="120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Souběžně s touto aktivitou je rozvíjena platforma Evropské komise - MPS (</w:t>
      </w:r>
      <w:proofErr w:type="spellStart"/>
      <w:r w:rsidRPr="00510131">
        <w:rPr>
          <w:sz w:val="20"/>
          <w:szCs w:val="20"/>
        </w:rPr>
        <w:t>Multi-Stakeholders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Platform</w:t>
      </w:r>
      <w:proofErr w:type="spellEnd"/>
      <w:r w:rsidRPr="00510131">
        <w:rPr>
          <w:sz w:val="20"/>
          <w:szCs w:val="20"/>
        </w:rPr>
        <w:t>), která připravila návrh doporučení na budoucí priority plánu. ANEC zaslal svou reakci na návrh, nicméně, připomínky nebyly vzaty v úvahu.</w:t>
      </w:r>
    </w:p>
    <w:p w:rsidR="00510131" w:rsidRPr="00510131" w:rsidRDefault="00510131" w:rsidP="00510131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b/>
          <w:sz w:val="20"/>
          <w:szCs w:val="20"/>
        </w:rPr>
      </w:pPr>
      <w:r w:rsidRPr="00510131">
        <w:rPr>
          <w:b/>
          <w:sz w:val="20"/>
          <w:szCs w:val="20"/>
        </w:rPr>
        <w:t>Evropský akt o přístupnosti …</w:t>
      </w:r>
    </w:p>
    <w:p w:rsidR="00510131" w:rsidRPr="00510131" w:rsidRDefault="00510131" w:rsidP="00510131">
      <w:pPr>
        <w:spacing w:after="120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Evropská komise zpracovává návrh směrnice o požadavcích na přístupnost pro určité výrobky a služby. Přístupností se rozumí použitelnost pro všechny spotřebitele, včetně zvlášť zranitelných spotřebitelů – seniorů, osob se zdravotním postižením, apod.). K návrhu probíhají veřejné konzultace – více </w:t>
      </w:r>
      <w:hyperlink r:id="rId16" w:history="1">
        <w:r w:rsidRPr="00510131">
          <w:rPr>
            <w:rStyle w:val="Hypertextovodkaz"/>
            <w:sz w:val="20"/>
            <w:szCs w:val="20"/>
          </w:rPr>
          <w:t>ZDE</w:t>
        </w:r>
      </w:hyperlink>
      <w:r w:rsidRPr="00510131">
        <w:rPr>
          <w:sz w:val="20"/>
          <w:szCs w:val="20"/>
        </w:rPr>
        <w:t xml:space="preserve">. V únoru předložili spotřebitelé zastoupení ANEC předběžné připomínky – více </w:t>
      </w:r>
      <w:hyperlink r:id="rId17" w:history="1">
        <w:r w:rsidRPr="00510131">
          <w:rPr>
            <w:rStyle w:val="Hypertextovodkaz"/>
            <w:sz w:val="20"/>
            <w:szCs w:val="20"/>
          </w:rPr>
          <w:t>ZDE</w:t>
        </w:r>
      </w:hyperlink>
      <w:r w:rsidRPr="00510131">
        <w:rPr>
          <w:rStyle w:val="Hypertextovodkaz"/>
          <w:sz w:val="20"/>
          <w:szCs w:val="20"/>
        </w:rPr>
        <w:t>.</w:t>
      </w:r>
    </w:p>
    <w:p w:rsidR="00510131" w:rsidRPr="00510131" w:rsidRDefault="00510131" w:rsidP="00510131">
      <w:pPr>
        <w:spacing w:after="120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SČS podporuje právní základ pro přístupnost výrobků a služeb, který by se opíral o normy, s ohledem na zkušenosti v oblasti bezpečnosti výrobků. Dále </w:t>
      </w:r>
      <w:proofErr w:type="spellStart"/>
      <w:r w:rsidRPr="00510131">
        <w:rPr>
          <w:sz w:val="20"/>
          <w:szCs w:val="20"/>
        </w:rPr>
        <w:t>zdůrazňujemel</w:t>
      </w:r>
      <w:proofErr w:type="spellEnd"/>
      <w:r w:rsidRPr="00510131">
        <w:rPr>
          <w:sz w:val="20"/>
          <w:szCs w:val="20"/>
        </w:rPr>
        <w:t xml:space="preserve"> význam účinného dohledu nad trhem a volným pohybem zboží. Spotřebitelé, jakož i orgány dozoru nad trhem by měly být informovány o nedostatku přístupnosti výrobku nebo služby pro všechny skupiny spotřebitelů. </w:t>
      </w:r>
    </w:p>
    <w:p w:rsidR="00510131" w:rsidRPr="00510131" w:rsidRDefault="00510131" w:rsidP="00510131">
      <w:pPr>
        <w:spacing w:after="120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lastRenderedPageBreak/>
        <w:t>ANEC proto doporučuje vyvinout značku s označením např. "žádný přístup" nebo "částečný přístup", která by informovala spotřebitele o omezené případně částečné dostupnosti. Tato značka by měla nahradit navrhované značení CE. Návrh bude nyní projednávat Evropský parlament a Rada.</w:t>
      </w:r>
    </w:p>
    <w:p w:rsidR="00510131" w:rsidRPr="00510131" w:rsidRDefault="00510131" w:rsidP="00510131">
      <w:pPr>
        <w:pStyle w:val="Odstavecseseznamem"/>
        <w:numPr>
          <w:ilvl w:val="1"/>
          <w:numId w:val="34"/>
        </w:numPr>
        <w:spacing w:after="120" w:line="259" w:lineRule="auto"/>
        <w:ind w:right="-286"/>
        <w:rPr>
          <w:b/>
          <w:sz w:val="20"/>
          <w:szCs w:val="20"/>
        </w:rPr>
      </w:pPr>
      <w:hyperlink r:id="rId18" w:tooltip="Osobní data" w:history="1">
        <w:r w:rsidRPr="00510131">
          <w:rPr>
            <w:b/>
            <w:sz w:val="20"/>
            <w:szCs w:val="20"/>
          </w:rPr>
          <w:t>Osobní data</w:t>
        </w:r>
      </w:hyperlink>
    </w:p>
    <w:p w:rsidR="00510131" w:rsidRPr="00510131" w:rsidRDefault="00510131" w:rsidP="00510131">
      <w:pPr>
        <w:pStyle w:val="Odstavecseseznamem"/>
        <w:numPr>
          <w:ilvl w:val="1"/>
          <w:numId w:val="34"/>
        </w:numPr>
        <w:spacing w:after="120" w:line="259" w:lineRule="auto"/>
        <w:ind w:right="-286"/>
        <w:rPr>
          <w:b/>
          <w:sz w:val="20"/>
          <w:szCs w:val="20"/>
        </w:rPr>
      </w:pPr>
      <w:hyperlink r:id="rId19" w:tooltip="Elektronická fakturace" w:history="1">
        <w:r w:rsidRPr="00510131">
          <w:rPr>
            <w:b/>
            <w:sz w:val="20"/>
            <w:szCs w:val="20"/>
          </w:rPr>
          <w:t>Elektronická fakturace</w:t>
        </w:r>
      </w:hyperlink>
    </w:p>
    <w:p w:rsidR="00510131" w:rsidRPr="00510131" w:rsidRDefault="00510131" w:rsidP="00510131">
      <w:pPr>
        <w:spacing w:after="120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V květnu 2014 byla publikována směrnice 2014/55/ ​EU o elektronické fakturaci ve veřejných zakázkách  - v souladu s řádným legislativním postupem v Evropském parlamentu (</w:t>
      </w:r>
      <w:proofErr w:type="gramStart"/>
      <w:r w:rsidRPr="00510131">
        <w:rPr>
          <w:sz w:val="20"/>
          <w:szCs w:val="20"/>
        </w:rPr>
        <w:t>11.03.2014</w:t>
      </w:r>
      <w:proofErr w:type="gramEnd"/>
      <w:r w:rsidRPr="00510131">
        <w:rPr>
          <w:sz w:val="20"/>
          <w:szCs w:val="20"/>
        </w:rPr>
        <w:t>) a Rady (14. dubna 2014). Jejím cílem je usnadnit používání elektronických faktur hospodářskými subjekty, které dodávají zboží, práce a služby pro veřejnou správu.</w:t>
      </w:r>
    </w:p>
    <w:p w:rsidR="00510131" w:rsidRPr="00510131" w:rsidRDefault="00510131" w:rsidP="00510131">
      <w:pPr>
        <w:spacing w:after="120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Článek 3 stanoví požadavek, aby EK nechala připravit evropskou normu (EN) pro sémantický datový model základních prvků elektronické faktury a zajistila rozvoj doplňkových normalizačních dokumentů.</w:t>
      </w:r>
    </w:p>
    <w:p w:rsidR="00510131" w:rsidRPr="00510131" w:rsidRDefault="00510131" w:rsidP="00510131">
      <w:pPr>
        <w:spacing w:after="120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Směrnice stanoví, že veřejné orgány a smluvní subjekty budou přijímat a zpracovávat elektronické faktury, které jsou v souladu s EN a s některou ze syntaxí </w:t>
      </w:r>
      <w:proofErr w:type="gramStart"/>
      <w:r w:rsidRPr="00510131">
        <w:rPr>
          <w:sz w:val="20"/>
          <w:szCs w:val="20"/>
        </w:rPr>
        <w:t>identifikovaných v normalizačním dokumentů.</w:t>
      </w:r>
      <w:proofErr w:type="gramEnd"/>
    </w:p>
    <w:p w:rsidR="00510131" w:rsidRPr="00510131" w:rsidRDefault="00510131" w:rsidP="00510131">
      <w:pPr>
        <w:spacing w:after="120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Požadované standardizační aktivity by měly být zahájeny co nejdříve, protože směrnice vstoupila v platnost </w:t>
      </w:r>
      <w:proofErr w:type="gramStart"/>
      <w:r w:rsidRPr="00510131">
        <w:rPr>
          <w:sz w:val="20"/>
          <w:szCs w:val="20"/>
        </w:rPr>
        <w:t>ke</w:t>
      </w:r>
      <w:proofErr w:type="gramEnd"/>
      <w:r w:rsidRPr="00510131">
        <w:rPr>
          <w:sz w:val="20"/>
          <w:szCs w:val="20"/>
        </w:rPr>
        <w:t xml:space="preserve"> 26. květnu 2014. Členské státy přijmou, zveřejní a budou uplatňovat právní a správní předpisy nezbytné pro dosažení souladu s touto směrnicí nejpozději do 27. listopadu 2018.</w:t>
      </w:r>
    </w:p>
    <w:p w:rsidR="00510131" w:rsidRPr="00510131" w:rsidRDefault="00510131" w:rsidP="00510131">
      <w:pPr>
        <w:spacing w:after="120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Mandát na zpracování normy již EK vydala.</w:t>
      </w:r>
    </w:p>
    <w:p w:rsidR="00510131" w:rsidRPr="00510131" w:rsidRDefault="00510131" w:rsidP="00510131">
      <w:pPr>
        <w:spacing w:after="120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SČS je zastoupeno v pracovní skupině při Hospodářské komoře ČR, která se se tématem zabývá.</w:t>
      </w:r>
    </w:p>
    <w:p w:rsidR="00510131" w:rsidRPr="00510131" w:rsidRDefault="00510131" w:rsidP="00510131">
      <w:pPr>
        <w:pStyle w:val="Odstavecseseznamem"/>
        <w:numPr>
          <w:ilvl w:val="1"/>
          <w:numId w:val="34"/>
        </w:numPr>
        <w:spacing w:after="120" w:line="259" w:lineRule="auto"/>
        <w:ind w:right="-286"/>
        <w:rPr>
          <w:b/>
          <w:sz w:val="20"/>
          <w:szCs w:val="20"/>
        </w:rPr>
      </w:pPr>
      <w:hyperlink r:id="rId20" w:tooltip="Poštovní služby" w:history="1">
        <w:r w:rsidRPr="00510131">
          <w:rPr>
            <w:b/>
            <w:sz w:val="20"/>
            <w:szCs w:val="20"/>
          </w:rPr>
          <w:t>Poštovní služby</w:t>
        </w:r>
      </w:hyperlink>
    </w:p>
    <w:p w:rsidR="00510131" w:rsidRPr="00510131" w:rsidRDefault="00510131" w:rsidP="00510131">
      <w:pPr>
        <w:pStyle w:val="Odstavecseseznamem"/>
        <w:numPr>
          <w:ilvl w:val="1"/>
          <w:numId w:val="34"/>
        </w:numPr>
        <w:spacing w:after="120" w:line="259" w:lineRule="auto"/>
        <w:ind w:right="-286"/>
        <w:rPr>
          <w:b/>
          <w:sz w:val="20"/>
          <w:szCs w:val="20"/>
        </w:rPr>
      </w:pPr>
      <w:hyperlink r:id="rId21" w:tooltip="Radiová zařízení" w:history="1">
        <w:r w:rsidRPr="00510131">
          <w:rPr>
            <w:b/>
            <w:sz w:val="20"/>
            <w:szCs w:val="20"/>
          </w:rPr>
          <w:t>Radiová zařízení</w:t>
        </w:r>
      </w:hyperlink>
      <w:r w:rsidRPr="00510131">
        <w:rPr>
          <w:b/>
          <w:sz w:val="20"/>
          <w:szCs w:val="20"/>
        </w:rPr>
        <w:t xml:space="preserve"> a služby </w:t>
      </w:r>
    </w:p>
    <w:p w:rsidR="00510131" w:rsidRPr="00510131" w:rsidRDefault="00510131" w:rsidP="00510131">
      <w:pPr>
        <w:pStyle w:val="Odstavecseseznamem"/>
        <w:numPr>
          <w:ilvl w:val="1"/>
          <w:numId w:val="34"/>
        </w:numPr>
        <w:spacing w:after="120" w:line="259" w:lineRule="auto"/>
        <w:ind w:right="-286"/>
        <w:rPr>
          <w:b/>
          <w:sz w:val="20"/>
          <w:szCs w:val="20"/>
        </w:rPr>
      </w:pPr>
      <w:r w:rsidRPr="00510131">
        <w:rPr>
          <w:b/>
          <w:sz w:val="20"/>
          <w:szCs w:val="20"/>
        </w:rPr>
        <w:t>…</w:t>
      </w:r>
    </w:p>
    <w:p w:rsidR="00510131" w:rsidRPr="00510131" w:rsidRDefault="00510131" w:rsidP="00510131">
      <w:pPr>
        <w:pStyle w:val="Odstavecseseznamem"/>
        <w:numPr>
          <w:ilvl w:val="1"/>
          <w:numId w:val="34"/>
        </w:numPr>
        <w:spacing w:after="120" w:line="259" w:lineRule="auto"/>
        <w:ind w:right="-286"/>
        <w:rPr>
          <w:b/>
          <w:sz w:val="20"/>
          <w:szCs w:val="20"/>
        </w:rPr>
      </w:pPr>
      <w:r w:rsidRPr="00510131">
        <w:rPr>
          <w:b/>
          <w:sz w:val="20"/>
          <w:szCs w:val="20"/>
        </w:rPr>
        <w:t>Různé ostatní</w:t>
      </w:r>
    </w:p>
    <w:p w:rsidR="00510131" w:rsidRPr="00510131" w:rsidRDefault="00510131" w:rsidP="00510131">
      <w:pPr>
        <w:pStyle w:val="Odstavecseseznamem"/>
        <w:spacing w:after="120"/>
        <w:ind w:left="0" w:right="-286"/>
        <w:jc w:val="both"/>
        <w:rPr>
          <w:b/>
          <w:sz w:val="20"/>
          <w:szCs w:val="20"/>
        </w:rPr>
      </w:pPr>
      <w:r w:rsidRPr="00510131">
        <w:rPr>
          <w:b/>
          <w:sz w:val="20"/>
          <w:szCs w:val="20"/>
        </w:rPr>
        <w:t xml:space="preserve">Témata normalizační práce – příklady výstupů zapojení spotřebitelů: </w:t>
      </w:r>
    </w:p>
    <w:p w:rsidR="00510131" w:rsidRPr="00510131" w:rsidRDefault="00510131" w:rsidP="00510131">
      <w:pPr>
        <w:pStyle w:val="Odstavecseseznamem"/>
        <w:spacing w:after="120"/>
        <w:ind w:left="0"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Aktivita podporuje následující evropské politiky a právní předpisy: Roční Pracovní Program Evropská unie pro evropskou normalizaci; Postupový plán pro </w:t>
      </w:r>
      <w:proofErr w:type="gramStart"/>
      <w:r w:rsidRPr="00510131">
        <w:rPr>
          <w:sz w:val="20"/>
          <w:szCs w:val="20"/>
        </w:rPr>
        <w:t>normalizaci  ICT</w:t>
      </w:r>
      <w:proofErr w:type="gramEnd"/>
      <w:r w:rsidRPr="00510131">
        <w:rPr>
          <w:sz w:val="20"/>
          <w:szCs w:val="20"/>
        </w:rPr>
        <w:t>; Směrnice o rádiových zařízeních (2014/53 / EU); R &amp; TTE (1999/5 / EC); Směrnice o nízkém napětí (2006/95 / ES); Doporučení Rady (1999/519 / ES) o vystavení veřejnosti elektromagnetickým polím; Program EU pro spotřebitele 2020 (cíle: sladění práv a klíčových politik pro ekonomické a sociální změny, zvýšení ochrany spotřebitelů); Digitální agenda pro Evropu; Evropská strategie pro zdravotně postižené 2010-2020 (oblast činnosti: přístupnost); Směrnice o nízkém napětí (2006/95 / ES).</w:t>
      </w:r>
    </w:p>
    <w:p w:rsidR="00510131" w:rsidRPr="00510131" w:rsidRDefault="00510131" w:rsidP="00510131">
      <w:pPr>
        <w:pStyle w:val="Odstavecseseznamem"/>
        <w:numPr>
          <w:ilvl w:val="0"/>
          <w:numId w:val="35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CEN/TC 365 "Internet </w:t>
      </w:r>
      <w:proofErr w:type="spellStart"/>
      <w:r w:rsidRPr="00510131">
        <w:rPr>
          <w:sz w:val="20"/>
          <w:szCs w:val="20"/>
        </w:rPr>
        <w:t>Filters</w:t>
      </w:r>
      <w:proofErr w:type="spellEnd"/>
      <w:r w:rsidRPr="00510131">
        <w:rPr>
          <w:sz w:val="20"/>
          <w:szCs w:val="20"/>
        </w:rPr>
        <w:t xml:space="preserve">" - CEN TS 16080:2013 ‘Internet </w:t>
      </w:r>
      <w:proofErr w:type="spellStart"/>
      <w:r w:rsidRPr="00510131">
        <w:rPr>
          <w:sz w:val="20"/>
          <w:szCs w:val="20"/>
        </w:rPr>
        <w:t>Content</w:t>
      </w:r>
      <w:proofErr w:type="spellEnd"/>
      <w:r w:rsidRPr="00510131">
        <w:rPr>
          <w:sz w:val="20"/>
          <w:szCs w:val="20"/>
        </w:rPr>
        <w:t xml:space="preserve"> and </w:t>
      </w:r>
      <w:proofErr w:type="spellStart"/>
      <w:r w:rsidRPr="00510131">
        <w:rPr>
          <w:sz w:val="20"/>
          <w:szCs w:val="20"/>
        </w:rPr>
        <w:t>communications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filtering</w:t>
      </w:r>
      <w:proofErr w:type="spellEnd"/>
      <w:r w:rsidRPr="00510131">
        <w:rPr>
          <w:sz w:val="20"/>
          <w:szCs w:val="20"/>
        </w:rPr>
        <w:t xml:space="preserve"> software and </w:t>
      </w:r>
      <w:proofErr w:type="spellStart"/>
      <w:r w:rsidRPr="00510131">
        <w:rPr>
          <w:sz w:val="20"/>
          <w:szCs w:val="20"/>
        </w:rPr>
        <w:t>services</w:t>
      </w:r>
      <w:proofErr w:type="spellEnd"/>
      <w:r w:rsidRPr="00510131">
        <w:rPr>
          <w:sz w:val="20"/>
          <w:szCs w:val="20"/>
        </w:rPr>
        <w:t>’. Spolupráce na stanovisku k revizi normy</w:t>
      </w:r>
    </w:p>
    <w:p w:rsidR="00510131" w:rsidRPr="00510131" w:rsidRDefault="00510131" w:rsidP="00510131">
      <w:pPr>
        <w:pStyle w:val="Odstavecseseznamem"/>
        <w:numPr>
          <w:ilvl w:val="0"/>
          <w:numId w:val="35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draft ANEC </w:t>
      </w:r>
      <w:proofErr w:type="spellStart"/>
      <w:r w:rsidRPr="00510131">
        <w:rPr>
          <w:sz w:val="20"/>
          <w:szCs w:val="20"/>
        </w:rPr>
        <w:t>comments</w:t>
      </w:r>
      <w:proofErr w:type="spellEnd"/>
      <w:r w:rsidRPr="00510131">
        <w:rPr>
          <w:sz w:val="20"/>
          <w:szCs w:val="20"/>
        </w:rPr>
        <w:t xml:space="preserve"> on IEC/IEEE 62704-1: </w:t>
      </w:r>
      <w:proofErr w:type="spellStart"/>
      <w:r w:rsidRPr="00510131">
        <w:rPr>
          <w:sz w:val="20"/>
          <w:szCs w:val="20"/>
        </w:rPr>
        <w:t>Recommended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Practice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for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Determining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the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Peak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Spatial-Average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Specific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Absorption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Rate</w:t>
      </w:r>
      <w:proofErr w:type="spellEnd"/>
      <w:r w:rsidRPr="00510131">
        <w:rPr>
          <w:sz w:val="20"/>
          <w:szCs w:val="20"/>
        </w:rPr>
        <w:t xml:space="preserve"> (SAR) in </w:t>
      </w:r>
      <w:proofErr w:type="spellStart"/>
      <w:r w:rsidRPr="00510131">
        <w:rPr>
          <w:sz w:val="20"/>
          <w:szCs w:val="20"/>
        </w:rPr>
        <w:t>the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Human</w:t>
      </w:r>
      <w:proofErr w:type="spellEnd"/>
      <w:r w:rsidRPr="00510131">
        <w:rPr>
          <w:sz w:val="20"/>
          <w:szCs w:val="20"/>
        </w:rPr>
        <w:t xml:space="preserve"> Body </w:t>
      </w:r>
      <w:proofErr w:type="spellStart"/>
      <w:r w:rsidRPr="00510131">
        <w:rPr>
          <w:sz w:val="20"/>
          <w:szCs w:val="20"/>
        </w:rPr>
        <w:t>from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Wireless</w:t>
      </w:r>
      <w:proofErr w:type="spellEnd"/>
      <w:r w:rsidRPr="00510131">
        <w:rPr>
          <w:sz w:val="20"/>
          <w:szCs w:val="20"/>
        </w:rPr>
        <w:t xml:space="preserve"> Communications </w:t>
      </w:r>
      <w:proofErr w:type="spellStart"/>
      <w:r w:rsidRPr="00510131">
        <w:rPr>
          <w:sz w:val="20"/>
          <w:szCs w:val="20"/>
        </w:rPr>
        <w:t>Devices</w:t>
      </w:r>
      <w:proofErr w:type="spellEnd"/>
      <w:r w:rsidRPr="00510131">
        <w:rPr>
          <w:sz w:val="20"/>
          <w:szCs w:val="20"/>
        </w:rPr>
        <w:t xml:space="preserve">, 30 MHz - 6 GHz- Part 1: General </w:t>
      </w:r>
      <w:proofErr w:type="spellStart"/>
      <w:r w:rsidRPr="00510131">
        <w:rPr>
          <w:sz w:val="20"/>
          <w:szCs w:val="20"/>
        </w:rPr>
        <w:t>Requirements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for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using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the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Finite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Difference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Time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Domain</w:t>
      </w:r>
      <w:proofErr w:type="spellEnd"/>
      <w:r w:rsidRPr="00510131">
        <w:rPr>
          <w:sz w:val="20"/>
          <w:szCs w:val="20"/>
        </w:rPr>
        <w:t xml:space="preserve"> (FDTD) </w:t>
      </w:r>
      <w:proofErr w:type="spellStart"/>
      <w:r w:rsidRPr="00510131">
        <w:rPr>
          <w:sz w:val="20"/>
          <w:szCs w:val="20"/>
        </w:rPr>
        <w:t>Method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for</w:t>
      </w:r>
      <w:proofErr w:type="spellEnd"/>
      <w:r w:rsidRPr="00510131">
        <w:rPr>
          <w:sz w:val="20"/>
          <w:szCs w:val="20"/>
        </w:rPr>
        <w:t xml:space="preserve"> SAR </w:t>
      </w:r>
      <w:proofErr w:type="spellStart"/>
      <w:r w:rsidRPr="00510131">
        <w:rPr>
          <w:sz w:val="20"/>
          <w:szCs w:val="20"/>
        </w:rPr>
        <w:t>Calculations</w:t>
      </w:r>
      <w:proofErr w:type="spellEnd"/>
      <w:r w:rsidRPr="00510131">
        <w:rPr>
          <w:sz w:val="20"/>
          <w:szCs w:val="20"/>
        </w:rPr>
        <w:t>; Spolupráce na stanovisku</w:t>
      </w:r>
    </w:p>
    <w:p w:rsidR="00510131" w:rsidRPr="00510131" w:rsidRDefault="00510131" w:rsidP="00510131">
      <w:pPr>
        <w:pStyle w:val="Odstavecseseznamem"/>
        <w:numPr>
          <w:ilvl w:val="0"/>
          <w:numId w:val="35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draft </w:t>
      </w:r>
      <w:proofErr w:type="spellStart"/>
      <w:r w:rsidRPr="00510131">
        <w:rPr>
          <w:sz w:val="20"/>
          <w:szCs w:val="20"/>
        </w:rPr>
        <w:t>ANEC’s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comments</w:t>
      </w:r>
      <w:proofErr w:type="spellEnd"/>
      <w:r w:rsidRPr="00510131">
        <w:rPr>
          <w:sz w:val="20"/>
          <w:szCs w:val="20"/>
        </w:rPr>
        <w:t xml:space="preserve"> on </w:t>
      </w:r>
      <w:proofErr w:type="spellStart"/>
      <w:r w:rsidRPr="00510131">
        <w:rPr>
          <w:sz w:val="20"/>
          <w:szCs w:val="20"/>
        </w:rPr>
        <w:t>the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new</w:t>
      </w:r>
      <w:proofErr w:type="spellEnd"/>
      <w:r w:rsidRPr="00510131">
        <w:rPr>
          <w:sz w:val="20"/>
          <w:szCs w:val="20"/>
        </w:rPr>
        <w:t xml:space="preserve"> draft </w:t>
      </w:r>
      <w:proofErr w:type="spellStart"/>
      <w:r w:rsidRPr="00510131">
        <w:rPr>
          <w:sz w:val="20"/>
          <w:szCs w:val="20"/>
        </w:rPr>
        <w:t>workprogramme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from</w:t>
      </w:r>
      <w:proofErr w:type="spellEnd"/>
      <w:r w:rsidRPr="00510131">
        <w:rPr>
          <w:sz w:val="20"/>
          <w:szCs w:val="20"/>
        </w:rPr>
        <w:t xml:space="preserve"> CEN/CLC JWG 8 in response to M/530 on </w:t>
      </w:r>
      <w:proofErr w:type="spellStart"/>
      <w:r w:rsidRPr="00510131">
        <w:rPr>
          <w:sz w:val="20"/>
          <w:szCs w:val="20"/>
        </w:rPr>
        <w:t>privacy</w:t>
      </w:r>
      <w:proofErr w:type="spellEnd"/>
      <w:r w:rsidRPr="00510131">
        <w:rPr>
          <w:sz w:val="20"/>
          <w:szCs w:val="20"/>
        </w:rPr>
        <w:t xml:space="preserve"> by design; Spolupráce na stanovisku</w:t>
      </w:r>
    </w:p>
    <w:p w:rsidR="00510131" w:rsidRPr="00510131" w:rsidRDefault="00510131" w:rsidP="00510131">
      <w:pPr>
        <w:pStyle w:val="Odstavecseseznamem"/>
        <w:numPr>
          <w:ilvl w:val="0"/>
          <w:numId w:val="35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K připomínkám KTPO je určena Instrukce ÚNMZ, která podporuje závěry hodnotící zprávy technické specifikace AS. Spolupráce na stanovisku</w:t>
      </w:r>
    </w:p>
    <w:p w:rsidR="00510131" w:rsidRPr="00510131" w:rsidRDefault="00510131" w:rsidP="00510131">
      <w:pPr>
        <w:pStyle w:val="Odstavecseseznamem"/>
        <w:numPr>
          <w:ilvl w:val="0"/>
          <w:numId w:val="35"/>
        </w:numPr>
        <w:spacing w:after="120" w:line="259" w:lineRule="auto"/>
        <w:ind w:right="-286"/>
        <w:jc w:val="both"/>
        <w:rPr>
          <w:sz w:val="20"/>
          <w:szCs w:val="20"/>
        </w:rPr>
      </w:pPr>
      <w:proofErr w:type="spellStart"/>
      <w:r w:rsidRPr="00510131">
        <w:rPr>
          <w:sz w:val="20"/>
          <w:szCs w:val="20"/>
        </w:rPr>
        <w:t>Comments</w:t>
      </w:r>
      <w:proofErr w:type="spellEnd"/>
      <w:r w:rsidRPr="00510131">
        <w:rPr>
          <w:sz w:val="20"/>
          <w:szCs w:val="20"/>
        </w:rPr>
        <w:t xml:space="preserve"> a </w:t>
      </w:r>
      <w:proofErr w:type="spellStart"/>
      <w:r w:rsidRPr="00510131">
        <w:rPr>
          <w:sz w:val="20"/>
          <w:szCs w:val="20"/>
        </w:rPr>
        <w:t>document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from</w:t>
      </w:r>
      <w:proofErr w:type="spellEnd"/>
      <w:r w:rsidRPr="00510131">
        <w:rPr>
          <w:sz w:val="20"/>
          <w:szCs w:val="20"/>
        </w:rPr>
        <w:t xml:space="preserve"> CLC TC 106X on EMF </w:t>
      </w:r>
      <w:proofErr w:type="spellStart"/>
      <w:r w:rsidRPr="00510131">
        <w:rPr>
          <w:sz w:val="20"/>
          <w:szCs w:val="20"/>
        </w:rPr>
        <w:t>about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limits</w:t>
      </w:r>
      <w:proofErr w:type="spellEnd"/>
      <w:r w:rsidRPr="00510131">
        <w:rPr>
          <w:sz w:val="20"/>
          <w:szCs w:val="20"/>
        </w:rPr>
        <w:t xml:space="preserve"> in </w:t>
      </w:r>
      <w:proofErr w:type="spellStart"/>
      <w:r w:rsidRPr="00510131">
        <w:rPr>
          <w:sz w:val="20"/>
          <w:szCs w:val="20"/>
        </w:rPr>
        <w:t>standards</w:t>
      </w:r>
      <w:proofErr w:type="spellEnd"/>
      <w:r w:rsidRPr="00510131">
        <w:rPr>
          <w:sz w:val="20"/>
          <w:szCs w:val="20"/>
        </w:rPr>
        <w:t>. Spolupráce na stanovisku</w:t>
      </w:r>
    </w:p>
    <w:p w:rsidR="00510131" w:rsidRPr="00510131" w:rsidRDefault="00510131" w:rsidP="00510131">
      <w:pPr>
        <w:pStyle w:val="Odstavecseseznamem"/>
        <w:numPr>
          <w:ilvl w:val="0"/>
          <w:numId w:val="35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New </w:t>
      </w:r>
      <w:proofErr w:type="spellStart"/>
      <w:r w:rsidRPr="00510131">
        <w:rPr>
          <w:sz w:val="20"/>
          <w:szCs w:val="20"/>
        </w:rPr>
        <w:t>work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Item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Proposals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from</w:t>
      </w:r>
      <w:proofErr w:type="spellEnd"/>
      <w:r w:rsidRPr="00510131">
        <w:rPr>
          <w:sz w:val="20"/>
          <w:szCs w:val="20"/>
        </w:rPr>
        <w:t xml:space="preserve"> CEN TC 224 on </w:t>
      </w:r>
      <w:proofErr w:type="spellStart"/>
      <w:r w:rsidRPr="00510131">
        <w:rPr>
          <w:sz w:val="20"/>
          <w:szCs w:val="20"/>
        </w:rPr>
        <w:t>biometrics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standardisation</w:t>
      </w:r>
      <w:proofErr w:type="spellEnd"/>
      <w:r w:rsidRPr="00510131">
        <w:rPr>
          <w:sz w:val="20"/>
          <w:szCs w:val="20"/>
        </w:rPr>
        <w:t>: Spolupráce na stanovisku</w:t>
      </w:r>
    </w:p>
    <w:p w:rsidR="00510131" w:rsidRPr="00510131" w:rsidRDefault="00510131" w:rsidP="00510131">
      <w:pPr>
        <w:pStyle w:val="Odstavecseseznamem"/>
        <w:numPr>
          <w:ilvl w:val="0"/>
          <w:numId w:val="35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NWI </w:t>
      </w:r>
      <w:proofErr w:type="spellStart"/>
      <w:r w:rsidRPr="00510131">
        <w:rPr>
          <w:sz w:val="20"/>
          <w:szCs w:val="20"/>
        </w:rPr>
        <w:t>Proposal</w:t>
      </w:r>
      <w:proofErr w:type="spellEnd"/>
      <w:r w:rsidRPr="00510131">
        <w:rPr>
          <w:sz w:val="20"/>
          <w:szCs w:val="20"/>
        </w:rPr>
        <w:t xml:space="preserve">: CEN/TS </w:t>
      </w:r>
      <w:proofErr w:type="spellStart"/>
      <w:r w:rsidRPr="00510131">
        <w:rPr>
          <w:sz w:val="20"/>
          <w:szCs w:val="20"/>
        </w:rPr>
        <w:t>Biometric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authentication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for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critical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infrastructure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access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control</w:t>
      </w:r>
      <w:proofErr w:type="spellEnd"/>
      <w:r w:rsidRPr="00510131">
        <w:rPr>
          <w:sz w:val="20"/>
          <w:szCs w:val="20"/>
        </w:rPr>
        <w:t xml:space="preserve"> - </w:t>
      </w:r>
      <w:proofErr w:type="spellStart"/>
      <w:r w:rsidRPr="00510131">
        <w:rPr>
          <w:sz w:val="20"/>
          <w:szCs w:val="20"/>
        </w:rPr>
        <w:t>Requirements</w:t>
      </w:r>
      <w:proofErr w:type="spellEnd"/>
      <w:r w:rsidRPr="00510131">
        <w:rPr>
          <w:sz w:val="20"/>
          <w:szCs w:val="20"/>
        </w:rPr>
        <w:t xml:space="preserve"> and </w:t>
      </w:r>
      <w:proofErr w:type="spellStart"/>
      <w:r w:rsidRPr="00510131">
        <w:rPr>
          <w:sz w:val="20"/>
          <w:szCs w:val="20"/>
        </w:rPr>
        <w:t>evaluation</w:t>
      </w:r>
      <w:proofErr w:type="spellEnd"/>
      <w:r w:rsidRPr="00510131">
        <w:rPr>
          <w:sz w:val="20"/>
          <w:szCs w:val="20"/>
        </w:rPr>
        <w:t>, Spolupráce na stanovisku</w:t>
      </w:r>
    </w:p>
    <w:p w:rsidR="00510131" w:rsidRPr="00510131" w:rsidRDefault="00510131" w:rsidP="00510131">
      <w:pPr>
        <w:pStyle w:val="Odstavecseseznamem"/>
        <w:numPr>
          <w:ilvl w:val="0"/>
          <w:numId w:val="35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NWI </w:t>
      </w:r>
      <w:proofErr w:type="spellStart"/>
      <w:r w:rsidRPr="00510131">
        <w:rPr>
          <w:sz w:val="20"/>
          <w:szCs w:val="20"/>
        </w:rPr>
        <w:t>Proposal</w:t>
      </w:r>
      <w:proofErr w:type="spellEnd"/>
      <w:r w:rsidRPr="00510131">
        <w:rPr>
          <w:sz w:val="20"/>
          <w:szCs w:val="20"/>
        </w:rPr>
        <w:t xml:space="preserve">: CEN/TS </w:t>
      </w:r>
      <w:proofErr w:type="spellStart"/>
      <w:r w:rsidRPr="00510131">
        <w:rPr>
          <w:sz w:val="20"/>
          <w:szCs w:val="20"/>
        </w:rPr>
        <w:t>Personal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identification</w:t>
      </w:r>
      <w:proofErr w:type="spellEnd"/>
      <w:r w:rsidRPr="00510131">
        <w:rPr>
          <w:sz w:val="20"/>
          <w:szCs w:val="20"/>
        </w:rPr>
        <w:t xml:space="preserve"> - </w:t>
      </w:r>
      <w:proofErr w:type="spellStart"/>
      <w:r w:rsidRPr="00510131">
        <w:rPr>
          <w:sz w:val="20"/>
          <w:szCs w:val="20"/>
        </w:rPr>
        <w:t>Recommendations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for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ensuring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the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robustness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of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biometrics</w:t>
      </w:r>
      <w:proofErr w:type="spellEnd"/>
      <w:r w:rsidRPr="00510131">
        <w:rPr>
          <w:sz w:val="20"/>
          <w:szCs w:val="20"/>
        </w:rPr>
        <w:t xml:space="preserve"> in </w:t>
      </w:r>
      <w:proofErr w:type="spellStart"/>
      <w:r w:rsidRPr="00510131">
        <w:rPr>
          <w:sz w:val="20"/>
          <w:szCs w:val="20"/>
        </w:rPr>
        <w:t>European</w:t>
      </w:r>
      <w:proofErr w:type="spellEnd"/>
      <w:r w:rsidRPr="00510131">
        <w:rPr>
          <w:sz w:val="20"/>
          <w:szCs w:val="20"/>
        </w:rPr>
        <w:t xml:space="preserve"> ABC </w:t>
      </w:r>
      <w:proofErr w:type="spellStart"/>
      <w:r w:rsidRPr="00510131">
        <w:rPr>
          <w:sz w:val="20"/>
          <w:szCs w:val="20"/>
        </w:rPr>
        <w:t>systems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against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Presentation</w:t>
      </w:r>
      <w:proofErr w:type="spellEnd"/>
      <w:r w:rsidRPr="00510131">
        <w:rPr>
          <w:sz w:val="20"/>
          <w:szCs w:val="20"/>
        </w:rPr>
        <w:t xml:space="preserve"> </w:t>
      </w:r>
      <w:proofErr w:type="spellStart"/>
      <w:r w:rsidRPr="00510131">
        <w:rPr>
          <w:sz w:val="20"/>
          <w:szCs w:val="20"/>
        </w:rPr>
        <w:t>Attacks</w:t>
      </w:r>
      <w:proofErr w:type="spellEnd"/>
      <w:r w:rsidRPr="00510131">
        <w:rPr>
          <w:sz w:val="20"/>
          <w:szCs w:val="20"/>
        </w:rPr>
        <w:t>, Spolupráce na stanovisku</w:t>
      </w:r>
    </w:p>
    <w:p w:rsidR="00510131" w:rsidRPr="00510131" w:rsidRDefault="00510131" w:rsidP="00420062">
      <w:pPr>
        <w:pStyle w:val="Odstavecseseznamem"/>
        <w:spacing w:after="120"/>
        <w:ind w:left="0"/>
        <w:jc w:val="both"/>
        <w:rPr>
          <w:sz w:val="20"/>
          <w:szCs w:val="20"/>
        </w:rPr>
      </w:pPr>
    </w:p>
    <w:p w:rsidR="00420062" w:rsidRPr="00510131" w:rsidRDefault="00420062" w:rsidP="00420062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Web &amp; legislativa e-přístupnost - vliv na návrh směrnice o přístupnosti webových stránek ve veřejném sektoru, a to zejména v souvislosti s používáním norem.</w:t>
      </w:r>
    </w:p>
    <w:p w:rsidR="00420062" w:rsidRPr="00510131" w:rsidRDefault="00420062" w:rsidP="00420062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Přístupnost elektronických komunikací - účast v ETSI lidský faktor; přispění k revizi normy EN 301 549 (pověření M / </w:t>
      </w:r>
      <w:proofErr w:type="gramStart"/>
      <w:r w:rsidRPr="00510131">
        <w:rPr>
          <w:sz w:val="20"/>
          <w:szCs w:val="20"/>
        </w:rPr>
        <w:t>376) (s DFA</w:t>
      </w:r>
      <w:proofErr w:type="gramEnd"/>
      <w:r w:rsidRPr="00510131">
        <w:rPr>
          <w:sz w:val="20"/>
          <w:szCs w:val="20"/>
        </w:rPr>
        <w:t xml:space="preserve"> WG).</w:t>
      </w:r>
    </w:p>
    <w:p w:rsidR="00420062" w:rsidRPr="00510131" w:rsidRDefault="00420062" w:rsidP="00420062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Legislativa pro výrobky - účast na expertní skupině EK -TCAM (zřízené podle R &amp; TTE).</w:t>
      </w:r>
    </w:p>
    <w:p w:rsidR="00420062" w:rsidRPr="00510131" w:rsidRDefault="00420062" w:rsidP="00420062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Expozice člověka elektromagnetickými poli - účast v CENELEC / TC 106X.</w:t>
      </w:r>
    </w:p>
    <w:p w:rsidR="00420062" w:rsidRPr="00510131" w:rsidRDefault="00420062" w:rsidP="00420062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Bezpečnost IT audio-video vybavení - účast na IEC / TC 108 a CENELEC / TC 108 a v jejích orgánech.</w:t>
      </w:r>
    </w:p>
    <w:p w:rsidR="00420062" w:rsidRPr="00510131" w:rsidRDefault="00420062" w:rsidP="00420062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e-</w:t>
      </w:r>
      <w:proofErr w:type="spellStart"/>
      <w:r w:rsidRPr="00510131">
        <w:rPr>
          <w:sz w:val="20"/>
          <w:szCs w:val="20"/>
        </w:rPr>
        <w:t>Recognition</w:t>
      </w:r>
      <w:proofErr w:type="spellEnd"/>
      <w:r w:rsidRPr="00510131">
        <w:rPr>
          <w:sz w:val="20"/>
          <w:szCs w:val="20"/>
        </w:rPr>
        <w:t xml:space="preserve"> - Účast v </w:t>
      </w:r>
      <w:proofErr w:type="gramStart"/>
      <w:r w:rsidRPr="00510131">
        <w:rPr>
          <w:sz w:val="20"/>
          <w:szCs w:val="20"/>
        </w:rPr>
        <w:t>CEN</w:t>
      </w:r>
      <w:proofErr w:type="gramEnd"/>
      <w:r w:rsidRPr="00510131">
        <w:rPr>
          <w:sz w:val="20"/>
          <w:szCs w:val="20"/>
        </w:rPr>
        <w:t xml:space="preserve"> / TC 224 a CEN / TC 225.</w:t>
      </w:r>
    </w:p>
    <w:p w:rsidR="00420062" w:rsidRPr="00510131" w:rsidRDefault="00420062" w:rsidP="00420062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 xml:space="preserve">​​Biometrie - účast v </w:t>
      </w:r>
      <w:proofErr w:type="gramStart"/>
      <w:r w:rsidRPr="00510131">
        <w:rPr>
          <w:sz w:val="20"/>
          <w:szCs w:val="20"/>
        </w:rPr>
        <w:t>CEN</w:t>
      </w:r>
      <w:proofErr w:type="gramEnd"/>
      <w:r w:rsidRPr="00510131">
        <w:rPr>
          <w:sz w:val="20"/>
          <w:szCs w:val="20"/>
        </w:rPr>
        <w:t xml:space="preserve"> / TC 224 / WG 18.</w:t>
      </w:r>
    </w:p>
    <w:p w:rsidR="00420062" w:rsidRPr="00510131" w:rsidRDefault="00420062" w:rsidP="00420062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Inteligentní a udržitelná města - Účast v CEN-CENELEC, ETSI Koordinační skupiny pro otázky (SSCC-CG).</w:t>
      </w:r>
    </w:p>
    <w:p w:rsidR="00420062" w:rsidRPr="00510131" w:rsidRDefault="00420062" w:rsidP="00420062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Strategie k normalizaci informačních a komunikačních technologií - účast platformě zainteresovaných stran při EK  pro informační a komunikační technologie, komentovat postupový plán informačních a komunikačních technologií, ad.</w:t>
      </w:r>
    </w:p>
    <w:p w:rsidR="00420062" w:rsidRPr="00510131" w:rsidRDefault="00420062" w:rsidP="00420062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Inteligentního měření a inteligentní sítě - účast na CEN-CENELEC-ETSI Koordinační skupiny při IEC TC 59 WG 15.</w:t>
      </w:r>
    </w:p>
    <w:p w:rsidR="00C62AAE" w:rsidRPr="00510131" w:rsidRDefault="00A567F2" w:rsidP="00812B61">
      <w:pPr>
        <w:spacing w:before="240" w:after="120"/>
        <w:jc w:val="both"/>
        <w:rPr>
          <w:sz w:val="20"/>
          <w:szCs w:val="20"/>
        </w:rPr>
      </w:pPr>
      <w:r w:rsidRPr="00510131">
        <w:rPr>
          <w:sz w:val="20"/>
          <w:szCs w:val="20"/>
        </w:rPr>
        <w:t>Červen</w:t>
      </w:r>
      <w:r w:rsidR="00631BCE" w:rsidRPr="00510131">
        <w:rPr>
          <w:sz w:val="20"/>
          <w:szCs w:val="20"/>
        </w:rPr>
        <w:t xml:space="preserve"> 2015</w:t>
      </w:r>
      <w:r w:rsidRPr="00510131">
        <w:rPr>
          <w:sz w:val="20"/>
          <w:szCs w:val="20"/>
        </w:rPr>
        <w:t>-16</w:t>
      </w:r>
      <w:r w:rsidR="00631BCE" w:rsidRPr="00510131">
        <w:rPr>
          <w:sz w:val="20"/>
          <w:szCs w:val="20"/>
        </w:rPr>
        <w:t>, Dupal</w:t>
      </w:r>
      <w:r w:rsidR="00BB07A6" w:rsidRPr="00510131">
        <w:rPr>
          <w:sz w:val="20"/>
          <w:szCs w:val="20"/>
        </w:rPr>
        <w:tab/>
      </w:r>
      <w:bookmarkStart w:id="0" w:name="_GoBack"/>
      <w:bookmarkEnd w:id="0"/>
    </w:p>
    <w:sectPr w:rsidR="00C62AAE" w:rsidRPr="00510131" w:rsidSect="00CA4A7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AB" w:rsidRDefault="00C21FAB">
      <w:r>
        <w:separator/>
      </w:r>
    </w:p>
  </w:endnote>
  <w:endnote w:type="continuationSeparator" w:id="0">
    <w:p w:rsidR="00C21FAB" w:rsidRDefault="00C2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0131">
      <w:rPr>
        <w:rStyle w:val="slostrnky"/>
        <w:noProof/>
      </w:rPr>
      <w:t>3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C21FAB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AB" w:rsidRDefault="00C21FAB">
      <w:r>
        <w:separator/>
      </w:r>
    </w:p>
  </w:footnote>
  <w:footnote w:type="continuationSeparator" w:id="0">
    <w:p w:rsidR="00C21FAB" w:rsidRDefault="00C21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633"/>
    <w:multiLevelType w:val="hybridMultilevel"/>
    <w:tmpl w:val="E61E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97E69"/>
    <w:multiLevelType w:val="multilevel"/>
    <w:tmpl w:val="7E02996E"/>
    <w:lvl w:ilvl="0">
      <w:start w:val="41"/>
      <w:numFmt w:val="decimalZero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95506"/>
    <w:multiLevelType w:val="hybridMultilevel"/>
    <w:tmpl w:val="199854D2"/>
    <w:lvl w:ilvl="0" w:tplc="283CCA1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67CF6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44D76"/>
    <w:multiLevelType w:val="multilevel"/>
    <w:tmpl w:val="ED463948"/>
    <w:lvl w:ilvl="0">
      <w:start w:val="2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6B79EB"/>
    <w:multiLevelType w:val="hybridMultilevel"/>
    <w:tmpl w:val="735AD90A"/>
    <w:lvl w:ilvl="0" w:tplc="01489DE2">
      <w:start w:val="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D2B04D3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4"/>
  </w:num>
  <w:num w:numId="5">
    <w:abstractNumId w:val="24"/>
  </w:num>
  <w:num w:numId="6">
    <w:abstractNumId w:val="20"/>
  </w:num>
  <w:num w:numId="7">
    <w:abstractNumId w:val="10"/>
  </w:num>
  <w:num w:numId="8">
    <w:abstractNumId w:val="34"/>
  </w:num>
  <w:num w:numId="9">
    <w:abstractNumId w:val="32"/>
  </w:num>
  <w:num w:numId="10">
    <w:abstractNumId w:val="6"/>
  </w:num>
  <w:num w:numId="11">
    <w:abstractNumId w:val="23"/>
  </w:num>
  <w:num w:numId="12">
    <w:abstractNumId w:val="19"/>
  </w:num>
  <w:num w:numId="13">
    <w:abstractNumId w:val="29"/>
  </w:num>
  <w:num w:numId="14">
    <w:abstractNumId w:val="7"/>
  </w:num>
  <w:num w:numId="15">
    <w:abstractNumId w:val="16"/>
  </w:num>
  <w:num w:numId="16">
    <w:abstractNumId w:val="13"/>
  </w:num>
  <w:num w:numId="17">
    <w:abstractNumId w:val="2"/>
  </w:num>
  <w:num w:numId="18">
    <w:abstractNumId w:val="31"/>
  </w:num>
  <w:num w:numId="19">
    <w:abstractNumId w:val="26"/>
  </w:num>
  <w:num w:numId="20">
    <w:abstractNumId w:val="11"/>
  </w:num>
  <w:num w:numId="21">
    <w:abstractNumId w:val="14"/>
  </w:num>
  <w:num w:numId="22">
    <w:abstractNumId w:val="28"/>
  </w:num>
  <w:num w:numId="23">
    <w:abstractNumId w:val="22"/>
  </w:num>
  <w:num w:numId="24">
    <w:abstractNumId w:val="33"/>
  </w:num>
  <w:num w:numId="25">
    <w:abstractNumId w:val="3"/>
  </w:num>
  <w:num w:numId="26">
    <w:abstractNumId w:val="8"/>
  </w:num>
  <w:num w:numId="27">
    <w:abstractNumId w:val="30"/>
  </w:num>
  <w:num w:numId="28">
    <w:abstractNumId w:val="17"/>
  </w:num>
  <w:num w:numId="29">
    <w:abstractNumId w:val="25"/>
  </w:num>
  <w:num w:numId="30">
    <w:abstractNumId w:val="12"/>
  </w:num>
  <w:num w:numId="31">
    <w:abstractNumId w:val="27"/>
  </w:num>
  <w:num w:numId="32">
    <w:abstractNumId w:val="5"/>
  </w:num>
  <w:num w:numId="33">
    <w:abstractNumId w:val="0"/>
  </w:num>
  <w:num w:numId="34">
    <w:abstractNumId w:val="1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0E723B"/>
    <w:rsid w:val="00116459"/>
    <w:rsid w:val="001166A4"/>
    <w:rsid w:val="00141082"/>
    <w:rsid w:val="001B0E0F"/>
    <w:rsid w:val="001D1BC9"/>
    <w:rsid w:val="002072C8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A7D01"/>
    <w:rsid w:val="003D6125"/>
    <w:rsid w:val="004179B6"/>
    <w:rsid w:val="00420062"/>
    <w:rsid w:val="00491EFD"/>
    <w:rsid w:val="004C7619"/>
    <w:rsid w:val="00503D33"/>
    <w:rsid w:val="00510131"/>
    <w:rsid w:val="005332C0"/>
    <w:rsid w:val="00544A87"/>
    <w:rsid w:val="00596128"/>
    <w:rsid w:val="005979AF"/>
    <w:rsid w:val="005B2F69"/>
    <w:rsid w:val="005F40F3"/>
    <w:rsid w:val="0060473E"/>
    <w:rsid w:val="00631BCE"/>
    <w:rsid w:val="00662932"/>
    <w:rsid w:val="00664BF3"/>
    <w:rsid w:val="00687028"/>
    <w:rsid w:val="006E7B00"/>
    <w:rsid w:val="00790BA3"/>
    <w:rsid w:val="007C0C67"/>
    <w:rsid w:val="007E29FE"/>
    <w:rsid w:val="00812B61"/>
    <w:rsid w:val="008135F0"/>
    <w:rsid w:val="00815610"/>
    <w:rsid w:val="00876265"/>
    <w:rsid w:val="0089064E"/>
    <w:rsid w:val="00891182"/>
    <w:rsid w:val="008A3042"/>
    <w:rsid w:val="009360CB"/>
    <w:rsid w:val="00997132"/>
    <w:rsid w:val="009C2F19"/>
    <w:rsid w:val="009D73EA"/>
    <w:rsid w:val="009F417D"/>
    <w:rsid w:val="00A102A2"/>
    <w:rsid w:val="00A50D21"/>
    <w:rsid w:val="00A56614"/>
    <w:rsid w:val="00A567F2"/>
    <w:rsid w:val="00A8392D"/>
    <w:rsid w:val="00AE6C43"/>
    <w:rsid w:val="00AF2662"/>
    <w:rsid w:val="00AF6E7B"/>
    <w:rsid w:val="00B2184E"/>
    <w:rsid w:val="00B311CE"/>
    <w:rsid w:val="00BB07A6"/>
    <w:rsid w:val="00BE61FF"/>
    <w:rsid w:val="00C02D2C"/>
    <w:rsid w:val="00C1067B"/>
    <w:rsid w:val="00C21FAB"/>
    <w:rsid w:val="00C22D18"/>
    <w:rsid w:val="00C30E4B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32D4D"/>
    <w:rsid w:val="00D75088"/>
    <w:rsid w:val="00D963D1"/>
    <w:rsid w:val="00DE34F8"/>
    <w:rsid w:val="00E05348"/>
    <w:rsid w:val="00E41C48"/>
    <w:rsid w:val="00E47C33"/>
    <w:rsid w:val="00E6069E"/>
    <w:rsid w:val="00E84899"/>
    <w:rsid w:val="00EC48DA"/>
    <w:rsid w:val="00F060CE"/>
    <w:rsid w:val="00F4375C"/>
    <w:rsid w:val="00F85065"/>
    <w:rsid w:val="00F86228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1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1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3ict.org/resource_center/publications_and_reports/p/productCategory_whitepapers/subCat_7/id_334" TargetMode="External"/><Relationship Id="rId18" Type="http://schemas.openxmlformats.org/officeDocument/2006/relationships/hyperlink" Target="http://www.top-normy.cz/service/index.php?id_page=220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top-normy.cz/service/index.php?id_page=2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p-normy.cz/users/files/temata-norm/50-sluzby-ii/55_a-ANEC-DIGITAL-2016-G-050.doc" TargetMode="External"/><Relationship Id="rId17" Type="http://schemas.openxmlformats.org/officeDocument/2006/relationships/hyperlink" Target="http://www.europarl.europa.eu/RegData/docs_autres_institutions/commission_europeenne/com/2012/0721/COM_COM%282012%290721_EN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anec.eu/attachments/ANEC-ACCESS-2016-G-002final.pdf" TargetMode="External"/><Relationship Id="rId20" Type="http://schemas.openxmlformats.org/officeDocument/2006/relationships/hyperlink" Target="http://www.top-normy.cz/service/index.php?id_page=22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p-normy.cz/users/files/temata-norm/50-sluzby-ii/55_a-405-Functioning-of-MSP-Rules-of-Procedures-1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nec.eu/attachments/ANEC-ICT-2015-G-136final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konzument.cz/zastoupeni-v-ek/k-informaci/digitalni-svet.php" TargetMode="External"/><Relationship Id="rId19" Type="http://schemas.openxmlformats.org/officeDocument/2006/relationships/hyperlink" Target="http://www.top-normy.cz/service/index.php?id_page=2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-normy.cz/service/index.php?id_page=204" TargetMode="External"/><Relationship Id="rId14" Type="http://schemas.openxmlformats.org/officeDocument/2006/relationships/hyperlink" Target="https://ec.europa.eu/digital-single-market/digital-single-marke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1367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9420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3</cp:revision>
  <cp:lastPrinted>2003-01-13T05:58:00Z</cp:lastPrinted>
  <dcterms:created xsi:type="dcterms:W3CDTF">2016-08-08T12:23:00Z</dcterms:created>
  <dcterms:modified xsi:type="dcterms:W3CDTF">2016-08-08T12:52:00Z</dcterms:modified>
</cp:coreProperties>
</file>