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41" w:rsidRDefault="004F2341" w:rsidP="004F2341">
      <w:pPr>
        <w:spacing w:after="120"/>
        <w:ind w:left="1134" w:right="-142" w:hanging="1134"/>
        <w:jc w:val="center"/>
        <w:rPr>
          <w:b/>
          <w:sz w:val="20"/>
        </w:rPr>
      </w:pPr>
      <w:r>
        <w:rPr>
          <w:b/>
          <w:sz w:val="20"/>
        </w:rPr>
        <w:t>Aktualizovaný</w:t>
      </w:r>
      <w:bookmarkStart w:id="0" w:name="_GoBack"/>
      <w:bookmarkEnd w:id="0"/>
    </w:p>
    <w:p w:rsidR="004F2341" w:rsidRDefault="004F2341" w:rsidP="004F2341">
      <w:pPr>
        <w:spacing w:after="120"/>
        <w:ind w:left="1134" w:right="-142" w:hanging="1134"/>
        <w:jc w:val="center"/>
        <w:rPr>
          <w:b/>
          <w:sz w:val="20"/>
        </w:rPr>
      </w:pPr>
      <w:r w:rsidRPr="001C7649">
        <w:rPr>
          <w:b/>
          <w:sz w:val="20"/>
        </w:rPr>
        <w:t xml:space="preserve">NÁRODNÍ „SEKTOROVÝ“ PROGRAM PRIORIT </w:t>
      </w:r>
    </w:p>
    <w:p w:rsidR="004F2341" w:rsidRDefault="004F2341" w:rsidP="004F2341">
      <w:pPr>
        <w:spacing w:after="120"/>
        <w:ind w:left="1134" w:right="-142" w:hanging="1134"/>
        <w:jc w:val="center"/>
        <w:rPr>
          <w:b/>
          <w:sz w:val="20"/>
        </w:rPr>
      </w:pPr>
      <w:r w:rsidRPr="001C7649">
        <w:rPr>
          <w:b/>
          <w:sz w:val="20"/>
        </w:rPr>
        <w:t>PRO ZAPOJENÍ SPOTŘEBITELŮ</w:t>
      </w:r>
      <w:r>
        <w:rPr>
          <w:b/>
          <w:sz w:val="20"/>
        </w:rPr>
        <w:t xml:space="preserve"> </w:t>
      </w:r>
      <w:r w:rsidRPr="001C7649">
        <w:rPr>
          <w:b/>
          <w:sz w:val="20"/>
        </w:rPr>
        <w:t xml:space="preserve">DO NORMALIZACE </w:t>
      </w:r>
    </w:p>
    <w:p w:rsidR="004F2341" w:rsidRDefault="004F2341" w:rsidP="004F2341">
      <w:pPr>
        <w:spacing w:after="120"/>
        <w:ind w:left="1134" w:right="-142" w:hanging="1134"/>
        <w:jc w:val="center"/>
        <w:rPr>
          <w:b/>
          <w:sz w:val="20"/>
        </w:rPr>
      </w:pPr>
      <w:r>
        <w:rPr>
          <w:b/>
          <w:sz w:val="20"/>
        </w:rPr>
        <w:t>pro roky 2015-16.</w:t>
      </w:r>
    </w:p>
    <w:p w:rsidR="004F2341" w:rsidRDefault="004F2341" w:rsidP="004F2341">
      <w:pPr>
        <w:spacing w:after="120"/>
        <w:ind w:right="-142"/>
        <w:jc w:val="both"/>
        <w:rPr>
          <w:sz w:val="20"/>
        </w:rPr>
      </w:pPr>
      <w:r>
        <w:rPr>
          <w:sz w:val="20"/>
        </w:rPr>
        <w:t>Pro roky 201</w:t>
      </w:r>
      <w:r>
        <w:rPr>
          <w:sz w:val="20"/>
        </w:rPr>
        <w:t>3</w:t>
      </w:r>
      <w:r>
        <w:rPr>
          <w:sz w:val="20"/>
        </w:rPr>
        <w:t>-1</w:t>
      </w:r>
      <w:r>
        <w:rPr>
          <w:sz w:val="20"/>
        </w:rPr>
        <w:t>4</w:t>
      </w:r>
      <w:r>
        <w:rPr>
          <w:sz w:val="20"/>
        </w:rPr>
        <w:t xml:space="preserve"> byl na základě analýzy</w:t>
      </w:r>
      <w:r w:rsidRPr="00C020DE">
        <w:rPr>
          <w:sz w:val="20"/>
        </w:rPr>
        <w:t xml:space="preserve"> </w:t>
      </w:r>
      <w:r>
        <w:rPr>
          <w:sz w:val="20"/>
        </w:rPr>
        <w:t>zpracován program, který si vyž</w:t>
      </w:r>
      <w:r>
        <w:rPr>
          <w:sz w:val="20"/>
        </w:rPr>
        <w:t>a</w:t>
      </w:r>
      <w:r>
        <w:rPr>
          <w:sz w:val="20"/>
        </w:rPr>
        <w:t>d</w:t>
      </w:r>
      <w:r>
        <w:rPr>
          <w:sz w:val="20"/>
        </w:rPr>
        <w:t>uje určitého</w:t>
      </w:r>
      <w:r>
        <w:rPr>
          <w:sz w:val="20"/>
        </w:rPr>
        <w:t xml:space="preserve"> </w:t>
      </w:r>
      <w:r>
        <w:rPr>
          <w:sz w:val="20"/>
        </w:rPr>
        <w:t xml:space="preserve">doplnění a </w:t>
      </w:r>
      <w:r>
        <w:rPr>
          <w:sz w:val="20"/>
        </w:rPr>
        <w:t>aktualizace. To je předmětem tohoto znění.</w:t>
      </w:r>
    </w:p>
    <w:p w:rsidR="004F2341" w:rsidRDefault="004F2341" w:rsidP="004F2341">
      <w:pPr>
        <w:spacing w:after="120"/>
        <w:ind w:right="-142"/>
        <w:jc w:val="both"/>
        <w:rPr>
          <w:sz w:val="20"/>
        </w:rPr>
      </w:pPr>
      <w:r>
        <w:rPr>
          <w:sz w:val="20"/>
        </w:rPr>
        <w:t xml:space="preserve">Program má </w:t>
      </w:r>
      <w:r w:rsidRPr="00C020DE">
        <w:rPr>
          <w:sz w:val="20"/>
        </w:rPr>
        <w:t>přispě</w:t>
      </w:r>
      <w:r>
        <w:rPr>
          <w:sz w:val="20"/>
        </w:rPr>
        <w:t>t</w:t>
      </w:r>
      <w:r w:rsidRPr="00C020DE">
        <w:rPr>
          <w:sz w:val="20"/>
        </w:rPr>
        <w:t xml:space="preserve"> k větší srozumitelnosti a transparentnosti při spolupráci různých partnerů, kteří se v problematice nem</w:t>
      </w:r>
      <w:r>
        <w:rPr>
          <w:sz w:val="20"/>
        </w:rPr>
        <w:t>ohou zatím důkladně orientovat.</w:t>
      </w:r>
    </w:p>
    <w:p w:rsidR="004F2341" w:rsidRPr="00E417D8" w:rsidRDefault="004F2341" w:rsidP="004F2341">
      <w:pPr>
        <w:pStyle w:val="Odstavecseseznamem"/>
        <w:numPr>
          <w:ilvl w:val="0"/>
          <w:numId w:val="34"/>
        </w:numPr>
        <w:spacing w:after="120"/>
        <w:ind w:left="426" w:right="-142" w:hanging="426"/>
        <w:contextualSpacing/>
        <w:jc w:val="both"/>
        <w:rPr>
          <w:b/>
          <w:sz w:val="20"/>
        </w:rPr>
      </w:pPr>
      <w:r w:rsidRPr="00E417D8">
        <w:rPr>
          <w:b/>
          <w:sz w:val="20"/>
        </w:rPr>
        <w:t>Zapojení ve strukturách ISO COPOLCO, popř. ISO)</w:t>
      </w:r>
    </w:p>
    <w:p w:rsidR="004F2341" w:rsidRDefault="004F2341" w:rsidP="004F2341">
      <w:pPr>
        <w:numPr>
          <w:ilvl w:val="1"/>
          <w:numId w:val="31"/>
        </w:numPr>
        <w:spacing w:after="120"/>
        <w:ind w:left="709" w:hanging="283"/>
        <w:jc w:val="both"/>
        <w:rPr>
          <w:sz w:val="20"/>
        </w:rPr>
      </w:pPr>
      <w:r>
        <w:rPr>
          <w:sz w:val="20"/>
        </w:rPr>
        <w:t>P</w:t>
      </w:r>
      <w:r w:rsidRPr="00851EC2">
        <w:rPr>
          <w:sz w:val="20"/>
        </w:rPr>
        <w:t xml:space="preserve">rioritou </w:t>
      </w:r>
      <w:r>
        <w:rPr>
          <w:sz w:val="20"/>
        </w:rPr>
        <w:t xml:space="preserve">je přímé zapojení do </w:t>
      </w:r>
      <w:r w:rsidRPr="003F26F5">
        <w:rPr>
          <w:b/>
          <w:sz w:val="20"/>
        </w:rPr>
        <w:t>Pracovní skupiny ISO COPOLCO pro zapojení spotřebitelů do normalizace</w:t>
      </w:r>
      <w:r w:rsidRPr="00851EC2">
        <w:rPr>
          <w:sz w:val="20"/>
        </w:rPr>
        <w:t xml:space="preserve">, kde </w:t>
      </w:r>
      <w:r>
        <w:rPr>
          <w:sz w:val="20"/>
        </w:rPr>
        <w:t>ředitel</w:t>
      </w:r>
      <w:r>
        <w:rPr>
          <w:sz w:val="20"/>
        </w:rPr>
        <w:t xml:space="preserve"> SČS</w:t>
      </w:r>
      <w:r w:rsidRPr="00851EC2">
        <w:rPr>
          <w:sz w:val="20"/>
        </w:rPr>
        <w:t xml:space="preserve"> </w:t>
      </w:r>
      <w:r>
        <w:rPr>
          <w:sz w:val="20"/>
        </w:rPr>
        <w:t>zastupuje</w:t>
      </w:r>
      <w:r w:rsidRPr="00851EC2">
        <w:rPr>
          <w:sz w:val="20"/>
        </w:rPr>
        <w:t xml:space="preserve"> ÚNMZ. </w:t>
      </w:r>
    </w:p>
    <w:p w:rsidR="004F2341" w:rsidRPr="003F26F5" w:rsidRDefault="004F2341" w:rsidP="004F2341">
      <w:pPr>
        <w:numPr>
          <w:ilvl w:val="1"/>
          <w:numId w:val="31"/>
        </w:numPr>
        <w:spacing w:after="120"/>
        <w:ind w:left="709" w:hanging="283"/>
        <w:jc w:val="both"/>
        <w:rPr>
          <w:sz w:val="20"/>
        </w:rPr>
      </w:pPr>
      <w:r>
        <w:rPr>
          <w:sz w:val="20"/>
        </w:rPr>
        <w:t>Další a</w:t>
      </w:r>
      <w:r w:rsidRPr="00851EC2">
        <w:rPr>
          <w:sz w:val="20"/>
        </w:rPr>
        <w:t xml:space="preserve">mbicí bude se v budoucnu </w:t>
      </w:r>
      <w:r>
        <w:rPr>
          <w:sz w:val="20"/>
        </w:rPr>
        <w:t>zapojit i</w:t>
      </w:r>
      <w:r w:rsidRPr="00851EC2">
        <w:rPr>
          <w:sz w:val="20"/>
        </w:rPr>
        <w:t xml:space="preserve"> do </w:t>
      </w:r>
      <w:r w:rsidRPr="003F26F5">
        <w:rPr>
          <w:b/>
          <w:sz w:val="20"/>
        </w:rPr>
        <w:t>PS ISO COPOLCO pro bezpečnost výrobků</w:t>
      </w:r>
      <w:r w:rsidRPr="00851EC2">
        <w:rPr>
          <w:sz w:val="20"/>
        </w:rPr>
        <w:t xml:space="preserve">; ve stávající situaci to není </w:t>
      </w:r>
      <w:r>
        <w:rPr>
          <w:sz w:val="20"/>
        </w:rPr>
        <w:t xml:space="preserve">ale </w:t>
      </w:r>
      <w:r w:rsidRPr="00851EC2">
        <w:rPr>
          <w:sz w:val="20"/>
        </w:rPr>
        <w:t xml:space="preserve">z kapacitních důvodů </w:t>
      </w:r>
      <w:r>
        <w:rPr>
          <w:sz w:val="20"/>
        </w:rPr>
        <w:t>možné</w:t>
      </w:r>
      <w:r w:rsidRPr="003F26F5">
        <w:rPr>
          <w:sz w:val="20"/>
        </w:rPr>
        <w:t xml:space="preserve">. </w:t>
      </w:r>
    </w:p>
    <w:p w:rsidR="004F2341" w:rsidRDefault="004F2341" w:rsidP="004F2341">
      <w:pPr>
        <w:numPr>
          <w:ilvl w:val="1"/>
          <w:numId w:val="31"/>
        </w:numPr>
        <w:spacing w:after="120"/>
        <w:ind w:left="709" w:hanging="283"/>
        <w:jc w:val="both"/>
        <w:rPr>
          <w:sz w:val="20"/>
        </w:rPr>
      </w:pPr>
      <w:r>
        <w:rPr>
          <w:sz w:val="20"/>
        </w:rPr>
        <w:t xml:space="preserve">Kabinet v současnosti pro ÚNMZ vykonává úlohu </w:t>
      </w:r>
      <w:r w:rsidRPr="00256E2E">
        <w:rPr>
          <w:b/>
          <w:sz w:val="20"/>
        </w:rPr>
        <w:t>smluvního zpracovatele norem</w:t>
      </w:r>
      <w:r>
        <w:rPr>
          <w:sz w:val="20"/>
        </w:rPr>
        <w:t xml:space="preserve"> – zejména jejich přejímání překladem. Jedná se zejména o oblast bezpečnosti výrobků a služeb.</w:t>
      </w:r>
    </w:p>
    <w:p w:rsidR="004F2341" w:rsidRDefault="004F2341" w:rsidP="004F2341">
      <w:pPr>
        <w:spacing w:after="120"/>
        <w:ind w:left="709"/>
        <w:jc w:val="both"/>
        <w:rPr>
          <w:sz w:val="20"/>
        </w:rPr>
      </w:pPr>
      <w:r>
        <w:rPr>
          <w:sz w:val="20"/>
        </w:rPr>
        <w:t>Budou dále projednávány možnosti zapojení Kabinetu jako Centra pro technickou normalizaci.</w:t>
      </w:r>
    </w:p>
    <w:p w:rsidR="004F2341" w:rsidRPr="00E417D8" w:rsidRDefault="004F2341" w:rsidP="004F2341">
      <w:pPr>
        <w:pStyle w:val="Odstavecseseznamem"/>
        <w:numPr>
          <w:ilvl w:val="0"/>
          <w:numId w:val="34"/>
        </w:numPr>
        <w:spacing w:after="120"/>
        <w:ind w:left="426" w:right="-142" w:hanging="426"/>
        <w:contextualSpacing/>
        <w:jc w:val="both"/>
        <w:rPr>
          <w:b/>
          <w:sz w:val="20"/>
        </w:rPr>
      </w:pPr>
      <w:r w:rsidRPr="00E417D8">
        <w:rPr>
          <w:b/>
          <w:sz w:val="20"/>
        </w:rPr>
        <w:t>Všeobecné záměry a témata</w:t>
      </w:r>
    </w:p>
    <w:p w:rsidR="004F2341" w:rsidRPr="00851EC2" w:rsidRDefault="004F2341" w:rsidP="004F2341">
      <w:pPr>
        <w:numPr>
          <w:ilvl w:val="0"/>
          <w:numId w:val="32"/>
        </w:numPr>
        <w:spacing w:after="120"/>
        <w:ind w:hanging="294"/>
        <w:jc w:val="both"/>
        <w:rPr>
          <w:sz w:val="20"/>
        </w:rPr>
      </w:pPr>
      <w:r>
        <w:rPr>
          <w:sz w:val="20"/>
        </w:rPr>
        <w:t xml:space="preserve">Podpora strategických dokumentů </w:t>
      </w:r>
      <w:r>
        <w:rPr>
          <w:sz w:val="20"/>
        </w:rPr>
        <w:t xml:space="preserve">EU a </w:t>
      </w:r>
      <w:r>
        <w:rPr>
          <w:sz w:val="20"/>
        </w:rPr>
        <w:t xml:space="preserve">ISO na </w:t>
      </w:r>
      <w:r w:rsidRPr="00851EC2">
        <w:rPr>
          <w:sz w:val="20"/>
        </w:rPr>
        <w:t>prioritní zaměření na spotřebitele, včetně</w:t>
      </w:r>
      <w:r>
        <w:rPr>
          <w:sz w:val="20"/>
        </w:rPr>
        <w:t>:</w:t>
      </w:r>
    </w:p>
    <w:p w:rsidR="004F2341" w:rsidRPr="00851EC2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sz w:val="20"/>
        </w:rPr>
      </w:pPr>
      <w:r w:rsidRPr="001553E3">
        <w:rPr>
          <w:b/>
          <w:sz w:val="20"/>
        </w:rPr>
        <w:t>Podpor</w:t>
      </w:r>
      <w:r>
        <w:rPr>
          <w:b/>
          <w:sz w:val="20"/>
        </w:rPr>
        <w:t>a</w:t>
      </w:r>
      <w:r w:rsidRPr="001553E3">
        <w:rPr>
          <w:b/>
          <w:sz w:val="20"/>
        </w:rPr>
        <w:t xml:space="preserve"> uplatňování norem</w:t>
      </w:r>
      <w:r w:rsidRPr="00851EC2">
        <w:rPr>
          <w:sz w:val="20"/>
        </w:rPr>
        <w:t xml:space="preserve"> s cílem maximalizovat </w:t>
      </w:r>
      <w:r>
        <w:rPr>
          <w:sz w:val="20"/>
        </w:rPr>
        <w:t xml:space="preserve">užitek a </w:t>
      </w:r>
      <w:r w:rsidRPr="00851EC2">
        <w:rPr>
          <w:sz w:val="20"/>
        </w:rPr>
        <w:t>prospěch uživatelů norem;</w:t>
      </w:r>
    </w:p>
    <w:p w:rsidR="004F2341" w:rsidRPr="00851EC2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sz w:val="20"/>
        </w:rPr>
      </w:pPr>
      <w:r>
        <w:rPr>
          <w:sz w:val="20"/>
        </w:rPr>
        <w:t>Zužitkování</w:t>
      </w:r>
      <w:r w:rsidRPr="00851EC2">
        <w:rPr>
          <w:sz w:val="20"/>
        </w:rPr>
        <w:t xml:space="preserve"> dosavadních zkušeností </w:t>
      </w:r>
      <w:r>
        <w:rPr>
          <w:sz w:val="20"/>
        </w:rPr>
        <w:t xml:space="preserve">(ÚNMZ, SČS, Kabinet </w:t>
      </w:r>
      <w:r w:rsidRPr="00851EC2">
        <w:rPr>
          <w:sz w:val="20"/>
        </w:rPr>
        <w:t>a</w:t>
      </w:r>
      <w:r>
        <w:rPr>
          <w:sz w:val="20"/>
        </w:rPr>
        <w:t>j.) k dalšímu rozvíjení a uplatňování</w:t>
      </w:r>
      <w:r w:rsidRPr="00851EC2">
        <w:rPr>
          <w:sz w:val="20"/>
        </w:rPr>
        <w:t xml:space="preserve"> </w:t>
      </w:r>
      <w:r w:rsidRPr="001553E3">
        <w:rPr>
          <w:b/>
          <w:sz w:val="20"/>
        </w:rPr>
        <w:t>správn</w:t>
      </w:r>
      <w:r>
        <w:rPr>
          <w:b/>
          <w:sz w:val="20"/>
        </w:rPr>
        <w:t>é</w:t>
      </w:r>
      <w:r w:rsidRPr="001553E3">
        <w:rPr>
          <w:b/>
          <w:sz w:val="20"/>
        </w:rPr>
        <w:t xml:space="preserve"> prax</w:t>
      </w:r>
      <w:r>
        <w:rPr>
          <w:b/>
          <w:sz w:val="20"/>
        </w:rPr>
        <w:t>e</w:t>
      </w:r>
      <w:r w:rsidRPr="001553E3">
        <w:rPr>
          <w:b/>
          <w:sz w:val="20"/>
        </w:rPr>
        <w:t xml:space="preserve"> pro účinnou koordinaci a monitoring zapojení stran</w:t>
      </w:r>
      <w:r w:rsidRPr="00851EC2">
        <w:rPr>
          <w:sz w:val="20"/>
        </w:rPr>
        <w:t xml:space="preserve"> do normalizace;</w:t>
      </w:r>
      <w:r>
        <w:rPr>
          <w:sz w:val="20"/>
        </w:rPr>
        <w:t xml:space="preserve"> tuto správnou praxi pak nabídnout partnerům na mezinárodním poli (</w:t>
      </w:r>
      <w:r>
        <w:rPr>
          <w:sz w:val="20"/>
        </w:rPr>
        <w:t xml:space="preserve">např. </w:t>
      </w:r>
      <w:r>
        <w:rPr>
          <w:sz w:val="20"/>
        </w:rPr>
        <w:t>členům ISO COPOLCO);</w:t>
      </w:r>
    </w:p>
    <w:p w:rsidR="004F2341" w:rsidRPr="00851EC2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sz w:val="20"/>
        </w:rPr>
      </w:pPr>
      <w:r w:rsidRPr="00851EC2">
        <w:rPr>
          <w:sz w:val="20"/>
        </w:rPr>
        <w:t xml:space="preserve">Další </w:t>
      </w:r>
      <w:r w:rsidRPr="001553E3">
        <w:rPr>
          <w:b/>
          <w:sz w:val="20"/>
        </w:rPr>
        <w:t>rozvíjení „našeho“ modelu zapojení spotřebitelů</w:t>
      </w:r>
      <w:r w:rsidRPr="00851EC2">
        <w:rPr>
          <w:sz w:val="20"/>
        </w:rPr>
        <w:t xml:space="preserve">, případně dalších stran do normalizace a </w:t>
      </w:r>
      <w:r>
        <w:rPr>
          <w:sz w:val="20"/>
        </w:rPr>
        <w:t xml:space="preserve">nabízet a </w:t>
      </w:r>
      <w:r w:rsidRPr="00851EC2">
        <w:rPr>
          <w:sz w:val="20"/>
        </w:rPr>
        <w:t xml:space="preserve">umožnit veřejným orgánům </w:t>
      </w:r>
      <w:r w:rsidRPr="00B762F8">
        <w:rPr>
          <w:b/>
          <w:sz w:val="20"/>
        </w:rPr>
        <w:t>účinnou podporu transparentního zapojení</w:t>
      </w:r>
      <w:r w:rsidRPr="00851EC2">
        <w:rPr>
          <w:sz w:val="20"/>
        </w:rPr>
        <w:t xml:space="preserve"> těch stran, které mají omezené zdroje – MSP, spotřebitelé (tak jak formuluje </w:t>
      </w:r>
      <w:r>
        <w:rPr>
          <w:sz w:val="20"/>
        </w:rPr>
        <w:t xml:space="preserve">strategie EU či </w:t>
      </w:r>
      <w:r w:rsidRPr="00851EC2">
        <w:rPr>
          <w:sz w:val="20"/>
        </w:rPr>
        <w:t>strategie</w:t>
      </w:r>
      <w:r>
        <w:rPr>
          <w:sz w:val="20"/>
        </w:rPr>
        <w:t xml:space="preserve"> ISO COPOLCO</w:t>
      </w:r>
      <w:r w:rsidRPr="00851EC2">
        <w:rPr>
          <w:sz w:val="20"/>
        </w:rPr>
        <w:t>);</w:t>
      </w:r>
    </w:p>
    <w:p w:rsidR="004F2341" w:rsidRPr="00851EC2" w:rsidRDefault="004F2341" w:rsidP="004F2341">
      <w:pPr>
        <w:numPr>
          <w:ilvl w:val="0"/>
          <w:numId w:val="32"/>
        </w:numPr>
        <w:spacing w:after="120"/>
        <w:ind w:hanging="294"/>
        <w:jc w:val="both"/>
        <w:rPr>
          <w:sz w:val="20"/>
        </w:rPr>
      </w:pPr>
      <w:r>
        <w:rPr>
          <w:sz w:val="20"/>
        </w:rPr>
        <w:t xml:space="preserve">Podpora </w:t>
      </w:r>
      <w:r w:rsidRPr="00851EC2">
        <w:rPr>
          <w:sz w:val="20"/>
        </w:rPr>
        <w:t>další</w:t>
      </w:r>
      <w:r>
        <w:rPr>
          <w:sz w:val="20"/>
        </w:rPr>
        <w:t>ho</w:t>
      </w:r>
      <w:r w:rsidRPr="00851EC2">
        <w:rPr>
          <w:sz w:val="20"/>
        </w:rPr>
        <w:t xml:space="preserve"> zlepšení porozumění </w:t>
      </w:r>
      <w:r>
        <w:rPr>
          <w:sz w:val="20"/>
        </w:rPr>
        <w:t xml:space="preserve">technických </w:t>
      </w:r>
      <w:r w:rsidRPr="00851EC2">
        <w:rPr>
          <w:sz w:val="20"/>
        </w:rPr>
        <w:t>norem obecně, včetně</w:t>
      </w:r>
    </w:p>
    <w:p w:rsidR="004F2341" w:rsidRPr="00851EC2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sz w:val="20"/>
        </w:rPr>
      </w:pPr>
      <w:r w:rsidRPr="00851EC2">
        <w:rPr>
          <w:sz w:val="20"/>
        </w:rPr>
        <w:t>Podíle</w:t>
      </w:r>
      <w:r>
        <w:rPr>
          <w:sz w:val="20"/>
        </w:rPr>
        <w:t xml:space="preserve">ní se </w:t>
      </w:r>
      <w:r w:rsidRPr="00851EC2">
        <w:rPr>
          <w:sz w:val="20"/>
        </w:rPr>
        <w:t>na komunikaci s různými cílovými skupinami</w:t>
      </w:r>
      <w:r>
        <w:rPr>
          <w:sz w:val="20"/>
        </w:rPr>
        <w:t xml:space="preserve"> </w:t>
      </w:r>
      <w:r w:rsidRPr="00851EC2">
        <w:rPr>
          <w:sz w:val="20"/>
        </w:rPr>
        <w:t>a využitím existujících studií či spoluprací na nových přispět k </w:t>
      </w:r>
      <w:r w:rsidRPr="00256E2E">
        <w:rPr>
          <w:sz w:val="20"/>
        </w:rPr>
        <w:t>doložení hospodářského a sociálního prospěchu norem</w:t>
      </w:r>
      <w:r w:rsidRPr="00851EC2">
        <w:rPr>
          <w:sz w:val="20"/>
        </w:rPr>
        <w:t xml:space="preserve"> pro organizace, průmysl, veřejný sektor atd.</w:t>
      </w:r>
    </w:p>
    <w:p w:rsidR="004F2341" w:rsidRDefault="004F2341" w:rsidP="004F2341">
      <w:pPr>
        <w:numPr>
          <w:ilvl w:val="0"/>
          <w:numId w:val="32"/>
        </w:numPr>
        <w:spacing w:after="120"/>
        <w:ind w:hanging="294"/>
        <w:jc w:val="both"/>
        <w:rPr>
          <w:sz w:val="20"/>
        </w:rPr>
      </w:pPr>
      <w:r w:rsidRPr="00851EC2">
        <w:rPr>
          <w:sz w:val="20"/>
        </w:rPr>
        <w:t xml:space="preserve">Posilování spolupráce se vzdělávacími institucemi - </w:t>
      </w:r>
      <w:r w:rsidRPr="009A7183">
        <w:rPr>
          <w:b/>
          <w:sz w:val="20"/>
        </w:rPr>
        <w:t>zařazování normalizace do vzdělávacích – výukových programů</w:t>
      </w:r>
      <w:r w:rsidRPr="00851EC2">
        <w:rPr>
          <w:sz w:val="20"/>
        </w:rPr>
        <w:t>.</w:t>
      </w:r>
    </w:p>
    <w:p w:rsidR="004F2341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 w:rsidRPr="00334FBD">
        <w:rPr>
          <w:b/>
          <w:sz w:val="20"/>
        </w:rPr>
        <w:t>Bezpečnost výrobků</w:t>
      </w:r>
      <w:r>
        <w:rPr>
          <w:sz w:val="20"/>
        </w:rPr>
        <w:t xml:space="preserve"> obecně s ohledem na zranitelné spotřebitele </w:t>
      </w:r>
    </w:p>
    <w:p w:rsidR="004F2341" w:rsidRDefault="004F2341" w:rsidP="004F2341">
      <w:pPr>
        <w:spacing w:after="120"/>
        <w:ind w:left="720"/>
        <w:jc w:val="both"/>
        <w:rPr>
          <w:sz w:val="20"/>
        </w:rPr>
      </w:pPr>
      <w:r>
        <w:rPr>
          <w:sz w:val="20"/>
        </w:rPr>
        <w:t>S</w:t>
      </w:r>
      <w:r w:rsidRPr="00851EC2">
        <w:rPr>
          <w:sz w:val="20"/>
        </w:rPr>
        <w:t>ledovat vývoj aktualizovaných znění pokynů ISO IEC 50, 51, 71</w:t>
      </w:r>
      <w:r>
        <w:rPr>
          <w:sz w:val="20"/>
        </w:rPr>
        <w:t xml:space="preserve"> (tvorba norem s ohledem na </w:t>
      </w:r>
      <w:r w:rsidRPr="00FF6421">
        <w:rPr>
          <w:b/>
          <w:sz w:val="20"/>
        </w:rPr>
        <w:t>bezpečnost pro děti, a s ohledem pro seniory a zdravotně postižené</w:t>
      </w:r>
      <w:r>
        <w:rPr>
          <w:sz w:val="20"/>
        </w:rPr>
        <w:t xml:space="preserve"> atp.) a sledovat</w:t>
      </w:r>
      <w:r w:rsidRPr="00861DC9">
        <w:rPr>
          <w:sz w:val="20"/>
        </w:rPr>
        <w:t xml:space="preserve"> </w:t>
      </w:r>
      <w:r w:rsidRPr="00851EC2">
        <w:rPr>
          <w:sz w:val="20"/>
        </w:rPr>
        <w:t xml:space="preserve">vývoj revize </w:t>
      </w:r>
      <w:r w:rsidRPr="00C55D17">
        <w:rPr>
          <w:sz w:val="20"/>
        </w:rPr>
        <w:t xml:space="preserve">normy pro </w:t>
      </w:r>
      <w:r w:rsidRPr="00334FBD">
        <w:rPr>
          <w:b/>
          <w:sz w:val="20"/>
        </w:rPr>
        <w:t>stahování výrobků z</w:t>
      </w:r>
      <w:r>
        <w:rPr>
          <w:b/>
          <w:sz w:val="20"/>
        </w:rPr>
        <w:t> </w:t>
      </w:r>
      <w:r w:rsidRPr="00334FBD">
        <w:rPr>
          <w:b/>
          <w:sz w:val="20"/>
        </w:rPr>
        <w:t>trhu</w:t>
      </w:r>
      <w:r>
        <w:rPr>
          <w:sz w:val="20"/>
        </w:rPr>
        <w:t>, popř. dalších horizontálních, průřezových dokumentů s důležitostí pro aplikaci norem a s dopadem na konečného spotřebitele.</w:t>
      </w:r>
    </w:p>
    <w:p w:rsidR="004F2341" w:rsidRDefault="004F2341" w:rsidP="004F2341">
      <w:pPr>
        <w:spacing w:after="120"/>
        <w:ind w:left="720"/>
        <w:jc w:val="both"/>
        <w:rPr>
          <w:sz w:val="20"/>
        </w:rPr>
      </w:pPr>
      <w:r>
        <w:rPr>
          <w:sz w:val="20"/>
        </w:rPr>
        <w:t>Pokračovat ve vydávání těchto pokynů (vždy po revizi) jako ČSN / TNI v překladu, anebo dohodnout jinou formu jejich publikování.</w:t>
      </w:r>
    </w:p>
    <w:p w:rsidR="004F2341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>
        <w:rPr>
          <w:sz w:val="20"/>
        </w:rPr>
        <w:t xml:space="preserve">Oblast zaměřená </w:t>
      </w:r>
      <w:r w:rsidRPr="00861DC9">
        <w:rPr>
          <w:sz w:val="20"/>
        </w:rPr>
        <w:t xml:space="preserve">na </w:t>
      </w:r>
      <w:r w:rsidRPr="0000614A">
        <w:rPr>
          <w:b/>
          <w:sz w:val="20"/>
        </w:rPr>
        <w:t>seniory a zdravotně postižené</w:t>
      </w:r>
      <w:r>
        <w:rPr>
          <w:sz w:val="20"/>
        </w:rPr>
        <w:t xml:space="preserve"> </w:t>
      </w:r>
    </w:p>
    <w:p w:rsidR="004F2341" w:rsidRDefault="004F2341" w:rsidP="004F2341">
      <w:pPr>
        <w:spacing w:after="120"/>
        <w:ind w:left="720"/>
        <w:jc w:val="both"/>
        <w:rPr>
          <w:sz w:val="20"/>
        </w:rPr>
      </w:pPr>
      <w:r>
        <w:rPr>
          <w:sz w:val="20"/>
        </w:rPr>
        <w:t>Rozvíjet dále toto pro nás specificky prioritní téma. Např. a zejména</w:t>
      </w:r>
    </w:p>
    <w:p w:rsidR="004F2341" w:rsidRDefault="004F2341" w:rsidP="004F2341">
      <w:pPr>
        <w:numPr>
          <w:ilvl w:val="1"/>
          <w:numId w:val="33"/>
        </w:numPr>
        <w:spacing w:after="120"/>
        <w:jc w:val="both"/>
        <w:rPr>
          <w:sz w:val="20"/>
        </w:rPr>
      </w:pPr>
      <w:r>
        <w:rPr>
          <w:sz w:val="20"/>
        </w:rPr>
        <w:t xml:space="preserve">Posilování spolupráce na mezinárodní, evropské i národní úrovni v jednotlivých oblastech. </w:t>
      </w:r>
    </w:p>
    <w:p w:rsidR="004F2341" w:rsidRDefault="004F2341" w:rsidP="004F2341">
      <w:pPr>
        <w:numPr>
          <w:ilvl w:val="1"/>
          <w:numId w:val="33"/>
        </w:numPr>
        <w:spacing w:after="120"/>
        <w:jc w:val="both"/>
        <w:rPr>
          <w:sz w:val="20"/>
        </w:rPr>
      </w:pPr>
      <w:r>
        <w:rPr>
          <w:sz w:val="20"/>
        </w:rPr>
        <w:t>Rozvinout konkrétně zapojení do oblasti bezbariérového užití staveb</w:t>
      </w:r>
    </w:p>
    <w:p w:rsidR="004F2341" w:rsidRDefault="004F2341" w:rsidP="004F2341">
      <w:pPr>
        <w:numPr>
          <w:ilvl w:val="1"/>
          <w:numId w:val="33"/>
        </w:numPr>
        <w:spacing w:after="120"/>
        <w:jc w:val="both"/>
        <w:rPr>
          <w:sz w:val="20"/>
        </w:rPr>
      </w:pPr>
      <w:r w:rsidRPr="00EC6579">
        <w:rPr>
          <w:sz w:val="20"/>
        </w:rPr>
        <w:lastRenderedPageBreak/>
        <w:t>Posílit expertní zázemí v dalších oblastech (konstrukce pro všechny, dostupnost – informační</w:t>
      </w:r>
      <w:r>
        <w:rPr>
          <w:sz w:val="20"/>
        </w:rPr>
        <w:t xml:space="preserve"> </w:t>
      </w:r>
      <w:r w:rsidRPr="00EC6579">
        <w:rPr>
          <w:sz w:val="20"/>
        </w:rPr>
        <w:t>technologie) aj.</w:t>
      </w:r>
    </w:p>
    <w:p w:rsidR="004F2341" w:rsidRPr="00E417D8" w:rsidRDefault="004F2341" w:rsidP="004F2341">
      <w:pPr>
        <w:pStyle w:val="Odstavecseseznamem"/>
        <w:numPr>
          <w:ilvl w:val="0"/>
          <w:numId w:val="34"/>
        </w:numPr>
        <w:spacing w:after="120"/>
        <w:ind w:left="426" w:right="-142" w:hanging="426"/>
        <w:contextualSpacing/>
        <w:jc w:val="both"/>
        <w:rPr>
          <w:b/>
          <w:sz w:val="20"/>
        </w:rPr>
      </w:pPr>
      <w:r w:rsidRPr="00E417D8">
        <w:rPr>
          <w:b/>
          <w:sz w:val="20"/>
        </w:rPr>
        <w:t>Sektorová témata pro normalizaci a řešení na globální úrovni</w:t>
      </w:r>
    </w:p>
    <w:p w:rsidR="004F2341" w:rsidRPr="006F589F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 w:rsidRPr="006F589F">
        <w:rPr>
          <w:b/>
          <w:sz w:val="20"/>
        </w:rPr>
        <w:t>Normalizace výrobků pro děti</w:t>
      </w:r>
      <w:r w:rsidRPr="006F589F">
        <w:rPr>
          <w:sz w:val="20"/>
        </w:rPr>
        <w:t>, např. autosedačky, balení odolná před dětmi; aj.</w:t>
      </w:r>
      <w:r>
        <w:rPr>
          <w:sz w:val="20"/>
        </w:rPr>
        <w:t xml:space="preserve"> dle aktuálního vývoje.</w:t>
      </w:r>
    </w:p>
    <w:p w:rsidR="004F2341" w:rsidRDefault="004F2341" w:rsidP="004F2341">
      <w:pPr>
        <w:spacing w:after="120"/>
        <w:ind w:left="708"/>
        <w:jc w:val="both"/>
        <w:rPr>
          <w:sz w:val="20"/>
        </w:rPr>
      </w:pPr>
      <w:r>
        <w:rPr>
          <w:sz w:val="20"/>
        </w:rPr>
        <w:t>Sledovat vývoj, v rámci dostupných kapacit se zapojovat připomínkami na evropské a případně i mezinárodní úrovni.</w:t>
      </w:r>
    </w:p>
    <w:p w:rsidR="004F2341" w:rsidRPr="00FF6421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 w:rsidRPr="0000614A">
        <w:rPr>
          <w:b/>
          <w:sz w:val="20"/>
        </w:rPr>
        <w:t>Bezpečnost a výkon domácích spotřebičů</w:t>
      </w:r>
      <w:r w:rsidRPr="00FF6421">
        <w:rPr>
          <w:sz w:val="20"/>
        </w:rPr>
        <w:t xml:space="preserve"> </w:t>
      </w:r>
      <w:r>
        <w:rPr>
          <w:sz w:val="20"/>
        </w:rPr>
        <w:t xml:space="preserve">- </w:t>
      </w:r>
      <w:r w:rsidRPr="00FF6421">
        <w:rPr>
          <w:sz w:val="20"/>
        </w:rPr>
        <w:t xml:space="preserve"> nedisponujeme expertním zázemím. Považujeme ho za velmi prioritní, záměrem je posílit naše zapojení v ANEC v této oblasti a přiměřeně sledovat i vývoj v ISO.</w:t>
      </w:r>
    </w:p>
    <w:p w:rsidR="004F2341" w:rsidRPr="003521BF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 w:rsidRPr="003521BF">
        <w:rPr>
          <w:b/>
          <w:sz w:val="20"/>
        </w:rPr>
        <w:t>Bezpečnost</w:t>
      </w:r>
      <w:r>
        <w:rPr>
          <w:b/>
          <w:sz w:val="20"/>
        </w:rPr>
        <w:t xml:space="preserve"> (a kvalita </w:t>
      </w:r>
      <w:r w:rsidRPr="003521BF">
        <w:rPr>
          <w:b/>
          <w:sz w:val="20"/>
        </w:rPr>
        <w:t>potravin</w:t>
      </w:r>
    </w:p>
    <w:p w:rsidR="004F2341" w:rsidRPr="003521BF" w:rsidRDefault="004F2341" w:rsidP="004F2341">
      <w:pPr>
        <w:spacing w:after="120"/>
        <w:ind w:left="720"/>
        <w:jc w:val="both"/>
        <w:rPr>
          <w:sz w:val="20"/>
        </w:rPr>
      </w:pPr>
      <w:r>
        <w:rPr>
          <w:sz w:val="20"/>
        </w:rPr>
        <w:t>Sledovat vývoj normalizace na globální úrovni, využívat pro priority v této oblasti na národní úrovni, zejména ve vztahu ke kvalitě potravin. Prioritou budou zřejmě falšované potraviny a boj proti nim.</w:t>
      </w:r>
    </w:p>
    <w:p w:rsidR="004F2341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>
        <w:rPr>
          <w:sz w:val="20"/>
        </w:rPr>
        <w:t xml:space="preserve">Normalizace a řešení </w:t>
      </w:r>
      <w:r w:rsidRPr="00FF6421">
        <w:rPr>
          <w:b/>
          <w:sz w:val="20"/>
        </w:rPr>
        <w:t>specifických technologií</w:t>
      </w:r>
    </w:p>
    <w:p w:rsidR="004F2341" w:rsidRPr="009F1EA7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 w:rsidRPr="00FF6421">
        <w:rPr>
          <w:b/>
          <w:sz w:val="20"/>
        </w:rPr>
        <w:t>Nanotechnologie</w:t>
      </w:r>
    </w:p>
    <w:p w:rsidR="004F2341" w:rsidRPr="009F1EA7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 w:rsidRPr="00FF6421">
        <w:rPr>
          <w:b/>
          <w:sz w:val="20"/>
        </w:rPr>
        <w:t>RFIT</w:t>
      </w:r>
      <w:r w:rsidRPr="009F1EA7">
        <w:rPr>
          <w:b/>
          <w:sz w:val="20"/>
        </w:rPr>
        <w:t xml:space="preserve"> (radiofrekvenční identifikační technologie);</w:t>
      </w:r>
    </w:p>
    <w:p w:rsidR="004F2341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 w:rsidRPr="0000614A">
        <w:rPr>
          <w:b/>
          <w:sz w:val="20"/>
        </w:rPr>
        <w:t>Služby</w:t>
      </w:r>
      <w:r>
        <w:rPr>
          <w:b/>
          <w:sz w:val="20"/>
        </w:rPr>
        <w:t xml:space="preserve"> na </w:t>
      </w:r>
      <w:r w:rsidRPr="0000614A">
        <w:rPr>
          <w:b/>
          <w:sz w:val="20"/>
        </w:rPr>
        <w:t>globálních tr</w:t>
      </w:r>
      <w:r>
        <w:rPr>
          <w:b/>
          <w:sz w:val="20"/>
        </w:rPr>
        <w:t>zích</w:t>
      </w:r>
    </w:p>
    <w:p w:rsidR="004F2341" w:rsidRDefault="004F2341" w:rsidP="004F2341">
      <w:pPr>
        <w:spacing w:after="120"/>
        <w:ind w:left="720"/>
        <w:jc w:val="both"/>
        <w:rPr>
          <w:sz w:val="20"/>
        </w:rPr>
      </w:pPr>
      <w:r>
        <w:rPr>
          <w:sz w:val="20"/>
        </w:rPr>
        <w:t xml:space="preserve">Vyhodnocovat aktuální témata, která jsou velmi různorodá; </w:t>
      </w:r>
      <w:r w:rsidRPr="00851EC2">
        <w:rPr>
          <w:sz w:val="20"/>
        </w:rPr>
        <w:t>hledat kapacity, jak se na co nejširší úrovni zapojovat.</w:t>
      </w:r>
      <w:r>
        <w:rPr>
          <w:sz w:val="20"/>
        </w:rPr>
        <w:t xml:space="preserve"> Zejména se zájem bude týkat následujících oblastí:</w:t>
      </w:r>
    </w:p>
    <w:p w:rsidR="004F2341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>
        <w:rPr>
          <w:b/>
          <w:sz w:val="20"/>
        </w:rPr>
        <w:t>Bezpečnost služeb</w:t>
      </w:r>
    </w:p>
    <w:p w:rsidR="004F2341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>
        <w:rPr>
          <w:b/>
          <w:sz w:val="20"/>
        </w:rPr>
        <w:t>Veřejné služby, včetně dopravy</w:t>
      </w:r>
    </w:p>
    <w:p w:rsidR="004F2341" w:rsidRPr="009F1EA7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 w:rsidRPr="009F1EA7">
        <w:rPr>
          <w:b/>
          <w:sz w:val="20"/>
        </w:rPr>
        <w:t>Služ</w:t>
      </w:r>
      <w:r>
        <w:rPr>
          <w:b/>
          <w:sz w:val="20"/>
        </w:rPr>
        <w:t>by</w:t>
      </w:r>
      <w:r w:rsidRPr="009F1EA7">
        <w:rPr>
          <w:b/>
          <w:sz w:val="20"/>
        </w:rPr>
        <w:t xml:space="preserve"> pro oblast turizmu </w:t>
      </w:r>
    </w:p>
    <w:p w:rsidR="004F2341" w:rsidRPr="009F1EA7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 w:rsidRPr="009F1EA7">
        <w:rPr>
          <w:b/>
          <w:sz w:val="20"/>
        </w:rPr>
        <w:t>Fakturování síťových služeb</w:t>
      </w:r>
    </w:p>
    <w:p w:rsidR="004F2341" w:rsidRPr="009F1EA7" w:rsidRDefault="004F2341" w:rsidP="004F2341">
      <w:pPr>
        <w:numPr>
          <w:ilvl w:val="1"/>
          <w:numId w:val="30"/>
        </w:numPr>
        <w:spacing w:after="120"/>
        <w:ind w:left="1134" w:hanging="425"/>
        <w:jc w:val="both"/>
        <w:rPr>
          <w:b/>
          <w:sz w:val="20"/>
        </w:rPr>
      </w:pPr>
      <w:r w:rsidRPr="009F1EA7">
        <w:rPr>
          <w:b/>
          <w:sz w:val="20"/>
        </w:rPr>
        <w:t>E-obchod</w:t>
      </w:r>
    </w:p>
    <w:p w:rsidR="004F2341" w:rsidRPr="00BD4B62" w:rsidRDefault="004F2341" w:rsidP="004F2341">
      <w:pPr>
        <w:spacing w:after="120"/>
        <w:ind w:left="709"/>
        <w:jc w:val="both"/>
        <w:rPr>
          <w:sz w:val="20"/>
        </w:rPr>
      </w:pPr>
      <w:r w:rsidRPr="00BD4B62">
        <w:rPr>
          <w:sz w:val="20"/>
        </w:rPr>
        <w:t xml:space="preserve">Podobně jako </w:t>
      </w:r>
      <w:r>
        <w:rPr>
          <w:sz w:val="20"/>
        </w:rPr>
        <w:t xml:space="preserve">v případě Pokynu ISO/IEC 76 (bezpečnost služeb v normách), který již je zaváděn do soustavy </w:t>
      </w:r>
      <w:proofErr w:type="gramStart"/>
      <w:r>
        <w:rPr>
          <w:sz w:val="20"/>
        </w:rPr>
        <w:t>ČSN jako</w:t>
      </w:r>
      <w:proofErr w:type="gramEnd"/>
      <w:r>
        <w:rPr>
          <w:sz w:val="20"/>
        </w:rPr>
        <w:t xml:space="preserve"> TNI, systematicky vyhledávat a podobně zavádět další kmenové dokumenty.</w:t>
      </w:r>
    </w:p>
    <w:p w:rsidR="004F2341" w:rsidRDefault="004F2341" w:rsidP="004F2341">
      <w:pPr>
        <w:numPr>
          <w:ilvl w:val="0"/>
          <w:numId w:val="32"/>
        </w:numPr>
        <w:spacing w:after="120"/>
        <w:jc w:val="both"/>
        <w:rPr>
          <w:sz w:val="20"/>
        </w:rPr>
      </w:pPr>
      <w:r w:rsidRPr="00FF6421">
        <w:rPr>
          <w:b/>
          <w:sz w:val="20"/>
        </w:rPr>
        <w:t>Společenská odpovědnost</w:t>
      </w:r>
      <w:r w:rsidRPr="00FF6421">
        <w:rPr>
          <w:sz w:val="20"/>
        </w:rPr>
        <w:t xml:space="preserve"> organizací </w:t>
      </w:r>
    </w:p>
    <w:p w:rsidR="004F2341" w:rsidRDefault="004F2341" w:rsidP="004F2341">
      <w:pPr>
        <w:spacing w:after="120"/>
        <w:ind w:left="720"/>
        <w:jc w:val="both"/>
        <w:rPr>
          <w:sz w:val="20"/>
        </w:rPr>
      </w:pPr>
      <w:r>
        <w:rPr>
          <w:sz w:val="20"/>
        </w:rPr>
        <w:t>Aktuální prioritou je aplikace normy pro společenskou odpovědnost v národní praxi. V tomto smyslu sledovat vývoj a zkušenosti „jinde“.</w:t>
      </w:r>
    </w:p>
    <w:p w:rsidR="004F2341" w:rsidRDefault="004F2341" w:rsidP="004F2341">
      <w:pPr>
        <w:spacing w:after="120"/>
        <w:jc w:val="both"/>
        <w:rPr>
          <w:sz w:val="20"/>
        </w:rPr>
      </w:pPr>
    </w:p>
    <w:p w:rsidR="004F2341" w:rsidRDefault="004F2341" w:rsidP="004F2341">
      <w:pPr>
        <w:spacing w:after="120"/>
        <w:jc w:val="both"/>
        <w:rPr>
          <w:sz w:val="20"/>
        </w:rPr>
      </w:pPr>
      <w:r>
        <w:rPr>
          <w:sz w:val="20"/>
        </w:rPr>
        <w:t>Říjen 2014</w:t>
      </w:r>
    </w:p>
    <w:p w:rsidR="00BB07A6" w:rsidRPr="004F2341" w:rsidRDefault="00BB07A6" w:rsidP="004F2341"/>
    <w:sectPr w:rsidR="00BB07A6" w:rsidRPr="004F2341" w:rsidSect="00CA4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4A" w:rsidRDefault="0040174A">
      <w:r>
        <w:separator/>
      </w:r>
    </w:p>
  </w:endnote>
  <w:endnote w:type="continuationSeparator" w:id="0">
    <w:p w:rsidR="0040174A" w:rsidRDefault="0040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211DE" w:rsidRDefault="00D211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1DE" w:rsidRDefault="00D211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F2341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D211DE" w:rsidTr="004C7619">
      <w:trPr>
        <w:trHeight w:val="416"/>
      </w:trPr>
      <w:tc>
        <w:tcPr>
          <w:tcW w:w="2050" w:type="dxa"/>
        </w:tcPr>
        <w:p w:rsidR="00D211DE" w:rsidRDefault="00D211DE" w:rsidP="004C7619">
          <w:pPr>
            <w:spacing w:line="276" w:lineRule="auto"/>
            <w:rPr>
              <w:sz w:val="6"/>
            </w:rPr>
          </w:pPr>
        </w:p>
        <w:p w:rsidR="00D211DE" w:rsidRDefault="00BB07A6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:rsidR="00D211DE" w:rsidRDefault="00D211DE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:rsidR="00D211DE" w:rsidRPr="00BB07A6" w:rsidRDefault="0040174A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D211DE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4C7619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www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</w:t>
          </w:r>
          <w:proofErr w:type="gramStart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konzument</w:t>
          </w:r>
          <w:proofErr w:type="gramEnd"/>
          <w:r w:rsidR="00D211DE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.cz</w:t>
          </w:r>
        </w:p>
      </w:tc>
      <w:tc>
        <w:tcPr>
          <w:tcW w:w="1116" w:type="dxa"/>
          <w:vAlign w:val="center"/>
        </w:tcPr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  <w:p w:rsidR="00D211DE" w:rsidRPr="00BB07A6" w:rsidRDefault="00D211DE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:rsidR="00D211DE" w:rsidRDefault="00D211D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4A" w:rsidRDefault="0040174A">
      <w:r>
        <w:separator/>
      </w:r>
    </w:p>
  </w:footnote>
  <w:footnote w:type="continuationSeparator" w:id="0">
    <w:p w:rsidR="0040174A" w:rsidRDefault="00401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D211DE" w:rsidTr="00E6069E">
      <w:trPr>
        <w:trHeight w:val="977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:rsidR="00D211DE" w:rsidRDefault="00F86228" w:rsidP="00E6069E">
          <w:r>
            <w:rPr>
              <w:noProof/>
            </w:rPr>
            <w:drawing>
              <wp:inline distT="0" distB="0" distL="0" distR="0" wp14:anchorId="42D6045A" wp14:editId="2771D327">
                <wp:extent cx="1666875" cy="704850"/>
                <wp:effectExtent l="0" t="0" r="9525" b="0"/>
                <wp:docPr id="1" name="obrázek 1" descr="logoKaStan_Cz_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Stan_Cz_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:rsidR="00D211DE" w:rsidRPr="00E6069E" w:rsidRDefault="00CF463C" w:rsidP="00503D33">
          <w:pPr>
            <w:ind w:right="71"/>
            <w:jc w:val="right"/>
            <w:rPr>
              <w:sz w:val="8"/>
            </w:rPr>
          </w:pPr>
          <w:r>
            <w:rPr>
              <w:noProof/>
            </w:rPr>
            <w:drawing>
              <wp:inline distT="0" distB="0" distL="0" distR="0" wp14:anchorId="54BE4C91" wp14:editId="238C48DE">
                <wp:extent cx="2139456" cy="704850"/>
                <wp:effectExtent l="0" t="0" r="0" b="0"/>
                <wp:docPr id="3" name="Obrázek 3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211DE" w:rsidTr="00E6069E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:rsidR="00D211DE" w:rsidRDefault="00D211DE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:rsidR="00D211DE" w:rsidRDefault="00D211DE" w:rsidP="00CE30FE">
          <w:pPr>
            <w:ind w:right="-70"/>
            <w:jc w:val="right"/>
            <w:rPr>
              <w:sz w:val="8"/>
            </w:rPr>
          </w:pPr>
        </w:p>
      </w:tc>
    </w:tr>
  </w:tbl>
  <w:p w:rsidR="00D211DE" w:rsidRPr="00D211DE" w:rsidRDefault="00D211DE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3C" w:rsidRDefault="00CF4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0128E"/>
    <w:multiLevelType w:val="hybridMultilevel"/>
    <w:tmpl w:val="B350B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D5162"/>
    <w:multiLevelType w:val="hybridMultilevel"/>
    <w:tmpl w:val="8A3452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C377A"/>
    <w:multiLevelType w:val="hybridMultilevel"/>
    <w:tmpl w:val="EAE27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7527D"/>
    <w:multiLevelType w:val="hybridMultilevel"/>
    <w:tmpl w:val="F6CC9D24"/>
    <w:lvl w:ilvl="0" w:tplc="CA68A5C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2B4847"/>
    <w:multiLevelType w:val="hybridMultilevel"/>
    <w:tmpl w:val="11426F8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329F3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6">
    <w:nsid w:val="6440355F"/>
    <w:multiLevelType w:val="hybridMultilevel"/>
    <w:tmpl w:val="5128C0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74216"/>
    <w:multiLevelType w:val="hybridMultilevel"/>
    <w:tmpl w:val="01DE13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42D217A"/>
    <w:multiLevelType w:val="hybridMultilevel"/>
    <w:tmpl w:val="6EFE8080"/>
    <w:lvl w:ilvl="0" w:tplc="07C8E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5"/>
  </w:num>
  <w:num w:numId="5">
    <w:abstractNumId w:val="23"/>
  </w:num>
  <w:num w:numId="6">
    <w:abstractNumId w:val="19"/>
  </w:num>
  <w:num w:numId="7">
    <w:abstractNumId w:val="10"/>
  </w:num>
  <w:num w:numId="8">
    <w:abstractNumId w:val="33"/>
  </w:num>
  <w:num w:numId="9">
    <w:abstractNumId w:val="31"/>
  </w:num>
  <w:num w:numId="10">
    <w:abstractNumId w:val="6"/>
  </w:num>
  <w:num w:numId="11">
    <w:abstractNumId w:val="22"/>
  </w:num>
  <w:num w:numId="12">
    <w:abstractNumId w:val="18"/>
  </w:num>
  <w:num w:numId="13">
    <w:abstractNumId w:val="27"/>
  </w:num>
  <w:num w:numId="14">
    <w:abstractNumId w:val="7"/>
  </w:num>
  <w:num w:numId="15">
    <w:abstractNumId w:val="15"/>
  </w:num>
  <w:num w:numId="16">
    <w:abstractNumId w:val="12"/>
  </w:num>
  <w:num w:numId="17">
    <w:abstractNumId w:val="2"/>
  </w:num>
  <w:num w:numId="18">
    <w:abstractNumId w:val="29"/>
  </w:num>
  <w:num w:numId="19">
    <w:abstractNumId w:val="24"/>
  </w:num>
  <w:num w:numId="20">
    <w:abstractNumId w:val="11"/>
  </w:num>
  <w:num w:numId="21">
    <w:abstractNumId w:val="13"/>
  </w:num>
  <w:num w:numId="22">
    <w:abstractNumId w:val="25"/>
  </w:num>
  <w:num w:numId="23">
    <w:abstractNumId w:val="21"/>
  </w:num>
  <w:num w:numId="24">
    <w:abstractNumId w:val="32"/>
  </w:num>
  <w:num w:numId="25">
    <w:abstractNumId w:val="4"/>
  </w:num>
  <w:num w:numId="26">
    <w:abstractNumId w:val="8"/>
  </w:num>
  <w:num w:numId="27">
    <w:abstractNumId w:val="28"/>
  </w:num>
  <w:num w:numId="28">
    <w:abstractNumId w:val="17"/>
  </w:num>
  <w:num w:numId="29">
    <w:abstractNumId w:val="1"/>
  </w:num>
  <w:num w:numId="30">
    <w:abstractNumId w:val="9"/>
  </w:num>
  <w:num w:numId="31">
    <w:abstractNumId w:val="26"/>
  </w:num>
  <w:num w:numId="32">
    <w:abstractNumId w:val="3"/>
  </w:num>
  <w:num w:numId="33">
    <w:abstractNumId w:val="1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00BBB"/>
    <w:rsid w:val="000021C4"/>
    <w:rsid w:val="000212DE"/>
    <w:rsid w:val="000A1CBC"/>
    <w:rsid w:val="000E330A"/>
    <w:rsid w:val="00116459"/>
    <w:rsid w:val="001166A4"/>
    <w:rsid w:val="00141082"/>
    <w:rsid w:val="001B0E0F"/>
    <w:rsid w:val="001D1BC9"/>
    <w:rsid w:val="00250C93"/>
    <w:rsid w:val="00277C59"/>
    <w:rsid w:val="00280435"/>
    <w:rsid w:val="002C3C7F"/>
    <w:rsid w:val="002D094E"/>
    <w:rsid w:val="00326DCA"/>
    <w:rsid w:val="0033327E"/>
    <w:rsid w:val="00333B8E"/>
    <w:rsid w:val="00343356"/>
    <w:rsid w:val="00363535"/>
    <w:rsid w:val="003A7D01"/>
    <w:rsid w:val="003D36AE"/>
    <w:rsid w:val="0040174A"/>
    <w:rsid w:val="004179B6"/>
    <w:rsid w:val="00491EFD"/>
    <w:rsid w:val="004C7619"/>
    <w:rsid w:val="004F2341"/>
    <w:rsid w:val="00503D33"/>
    <w:rsid w:val="005332C0"/>
    <w:rsid w:val="00544A87"/>
    <w:rsid w:val="00596128"/>
    <w:rsid w:val="005979AF"/>
    <w:rsid w:val="005B2F69"/>
    <w:rsid w:val="005F40F3"/>
    <w:rsid w:val="0060473E"/>
    <w:rsid w:val="00662932"/>
    <w:rsid w:val="00664BF3"/>
    <w:rsid w:val="00687028"/>
    <w:rsid w:val="007E29FE"/>
    <w:rsid w:val="00815610"/>
    <w:rsid w:val="00876265"/>
    <w:rsid w:val="0089064E"/>
    <w:rsid w:val="008A3042"/>
    <w:rsid w:val="009360CB"/>
    <w:rsid w:val="00997132"/>
    <w:rsid w:val="009C2F19"/>
    <w:rsid w:val="009D73EA"/>
    <w:rsid w:val="00A102A2"/>
    <w:rsid w:val="00A50D21"/>
    <w:rsid w:val="00A56614"/>
    <w:rsid w:val="00AE6C43"/>
    <w:rsid w:val="00AF2662"/>
    <w:rsid w:val="00AF6E7B"/>
    <w:rsid w:val="00B2184E"/>
    <w:rsid w:val="00B311CE"/>
    <w:rsid w:val="00BB07A6"/>
    <w:rsid w:val="00BE61FF"/>
    <w:rsid w:val="00C02D2C"/>
    <w:rsid w:val="00C1067B"/>
    <w:rsid w:val="00C22D18"/>
    <w:rsid w:val="00C246DD"/>
    <w:rsid w:val="00C62AAE"/>
    <w:rsid w:val="00C74594"/>
    <w:rsid w:val="00C779CB"/>
    <w:rsid w:val="00CA4A78"/>
    <w:rsid w:val="00CE30FE"/>
    <w:rsid w:val="00CF463C"/>
    <w:rsid w:val="00D2042B"/>
    <w:rsid w:val="00D211DE"/>
    <w:rsid w:val="00D27474"/>
    <w:rsid w:val="00D82991"/>
    <w:rsid w:val="00D963D1"/>
    <w:rsid w:val="00DE34F8"/>
    <w:rsid w:val="00E05348"/>
    <w:rsid w:val="00E41C48"/>
    <w:rsid w:val="00E47C33"/>
    <w:rsid w:val="00E6069E"/>
    <w:rsid w:val="00F060CE"/>
    <w:rsid w:val="00F4375C"/>
    <w:rsid w:val="00F85065"/>
    <w:rsid w:val="00F86228"/>
    <w:rsid w:val="00FB58D2"/>
    <w:rsid w:val="00FC0FBE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)</vt:lpstr>
    </vt:vector>
  </TitlesOfParts>
  <Company>SCS</Company>
  <LinksUpToDate>false</LinksUpToDate>
  <CharactersWithSpaces>4565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8</cp:revision>
  <cp:lastPrinted>2003-01-13T05:58:00Z</cp:lastPrinted>
  <dcterms:created xsi:type="dcterms:W3CDTF">2013-04-26T13:31:00Z</dcterms:created>
  <dcterms:modified xsi:type="dcterms:W3CDTF">2015-02-03T14:19:00Z</dcterms:modified>
</cp:coreProperties>
</file>