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AB" w:rsidRPr="007553AB" w:rsidRDefault="007553AB" w:rsidP="007553AB">
      <w:pPr>
        <w:jc w:val="right"/>
        <w:rPr>
          <w:sz w:val="20"/>
        </w:rPr>
      </w:pPr>
      <w:r>
        <w:rPr>
          <w:sz w:val="20"/>
        </w:rPr>
        <w:t xml:space="preserve">Doc: </w:t>
      </w:r>
      <w:r w:rsidRPr="007553AB">
        <w:rPr>
          <w:sz w:val="20"/>
        </w:rPr>
        <w:t>1_0-Titulni list 14_TN12-KPS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D610C1" w:rsidRPr="00BD3F76" w:rsidTr="00D610C1">
        <w:tc>
          <w:tcPr>
            <w:tcW w:w="9356" w:type="dxa"/>
          </w:tcPr>
          <w:p w:rsidR="00D610C1" w:rsidRPr="00BD3F76" w:rsidRDefault="00D610C1" w:rsidP="00F5427A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Titulní list úkolu</w:t>
            </w:r>
          </w:p>
          <w:p w:rsidR="00D610C1" w:rsidRDefault="00D610C1" w:rsidP="00F5427A">
            <w:pPr>
              <w:spacing w:after="120"/>
              <w:jc w:val="center"/>
              <w:rPr>
                <w:b/>
              </w:rPr>
            </w:pPr>
            <w:r w:rsidRPr="00D610C1">
              <w:t>zařazeného do</w:t>
            </w:r>
            <w:r w:rsidRPr="00014A60">
              <w:rPr>
                <w:b/>
              </w:rPr>
              <w:t xml:space="preserve"> </w:t>
            </w:r>
            <w:r w:rsidRPr="00D610C1">
              <w:rPr>
                <w:b/>
              </w:rPr>
              <w:t xml:space="preserve">Plánu standardizace - Programu rozvoje technické normalizace </w:t>
            </w:r>
          </w:p>
          <w:p w:rsidR="00D610C1" w:rsidRPr="00014A60" w:rsidRDefault="00D610C1" w:rsidP="00F5427A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D610C1">
              <w:rPr>
                <w:b/>
              </w:rPr>
              <w:t>na rok 2014</w:t>
            </w:r>
            <w:r w:rsidRPr="00014A60">
              <w:rPr>
                <w:b/>
              </w:rPr>
              <w:t xml:space="preserve"> </w:t>
            </w:r>
            <w:r w:rsidRPr="00014A60">
              <w:rPr>
                <w:b/>
                <w:sz w:val="22"/>
                <w:szCs w:val="26"/>
              </w:rPr>
              <w:t xml:space="preserve"> </w:t>
            </w:r>
          </w:p>
          <w:p w:rsidR="00D610C1" w:rsidRPr="00BD3F76" w:rsidRDefault="00D610C1" w:rsidP="00F5427A">
            <w:pPr>
              <w:spacing w:after="120"/>
              <w:ind w:left="2160" w:hanging="2160"/>
              <w:rPr>
                <w:b/>
                <w:i/>
                <w:sz w:val="20"/>
              </w:rPr>
            </w:pPr>
            <w:r w:rsidRPr="00BD3F76">
              <w:rPr>
                <w:b/>
                <w:sz w:val="20"/>
              </w:rPr>
              <w:t>Název úkolu:</w:t>
            </w:r>
            <w:r w:rsidRPr="00BD3F76">
              <w:rPr>
                <w:b/>
                <w:i/>
                <w:sz w:val="20"/>
              </w:rPr>
              <w:t xml:space="preserve"> </w:t>
            </w:r>
            <w:r w:rsidRPr="00BD3F76">
              <w:rPr>
                <w:b/>
                <w:i/>
                <w:sz w:val="20"/>
              </w:rPr>
              <w:tab/>
            </w:r>
            <w:r w:rsidRPr="00D610C1">
              <w:rPr>
                <w:b/>
                <w:i/>
                <w:sz w:val="22"/>
              </w:rPr>
              <w:t xml:space="preserve">„Vytvoření příručky Správné praxe pro provoz dětských hřišť a sportovišť – 2. etapa (finalizace)“ </w:t>
            </w:r>
            <w:r w:rsidRPr="00BD3F76">
              <w:rPr>
                <w:sz w:val="20"/>
              </w:rPr>
              <w:t>(dále jen „dílo”).</w:t>
            </w:r>
          </w:p>
          <w:p w:rsidR="00D610C1" w:rsidRPr="00BD3F76" w:rsidRDefault="00D610C1" w:rsidP="00F5427A">
            <w:pPr>
              <w:spacing w:after="120"/>
              <w:ind w:left="2160" w:hanging="21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Číslo úkolu:</w:t>
            </w:r>
            <w:r w:rsidRPr="00BD3F76">
              <w:rPr>
                <w:b/>
                <w:sz w:val="20"/>
              </w:rPr>
              <w:tab/>
            </w:r>
            <w:r w:rsidRPr="00D610C1">
              <w:rPr>
                <w:sz w:val="22"/>
              </w:rPr>
              <w:t>14/TN 12</w:t>
            </w:r>
          </w:p>
          <w:p w:rsidR="00D610C1" w:rsidRPr="00BD3F76" w:rsidRDefault="00D610C1" w:rsidP="00F5427A">
            <w:pPr>
              <w:spacing w:after="120"/>
              <w:ind w:left="2160" w:hanging="2160"/>
              <w:jc w:val="both"/>
              <w:rPr>
                <w:sz w:val="22"/>
              </w:rPr>
            </w:pPr>
            <w:r w:rsidRPr="00BD3F76">
              <w:rPr>
                <w:b/>
                <w:sz w:val="20"/>
              </w:rPr>
              <w:t>Objednatel: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sz w:val="20"/>
              </w:rPr>
              <w:t>Česká republika – Úřad pro technickou normalizaci, metrologii a státní zkušebnictví, organizační složka státu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>(ÚNMZ)</w:t>
            </w:r>
          </w:p>
          <w:p w:rsidR="00D610C1" w:rsidRPr="00BD3F76" w:rsidRDefault="00D610C1" w:rsidP="00F5427A">
            <w:pPr>
              <w:spacing w:after="120"/>
              <w:jc w:val="both"/>
              <w:rPr>
                <w:sz w:val="20"/>
              </w:rPr>
            </w:pPr>
            <w:r w:rsidRPr="00BD3F76">
              <w:rPr>
                <w:b/>
                <w:sz w:val="20"/>
              </w:rPr>
              <w:t>Zhotovitel:</w:t>
            </w:r>
            <w:r w:rsidRPr="00BD3F76">
              <w:rPr>
                <w:b/>
                <w:sz w:val="20"/>
              </w:rPr>
              <w:tab/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>Kabinet pro standardizaci, o.</w:t>
            </w:r>
            <w:proofErr w:type="gramStart"/>
            <w:r>
              <w:rPr>
                <w:sz w:val="20"/>
              </w:rPr>
              <w:t>p.s..</w:t>
            </w:r>
            <w:proofErr w:type="gramEnd"/>
          </w:p>
          <w:p w:rsidR="00D610C1" w:rsidRPr="00BD3F76" w:rsidRDefault="00D610C1" w:rsidP="00F5427A">
            <w:pPr>
              <w:spacing w:after="120"/>
              <w:ind w:left="2198" w:hanging="2198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Řešitel:</w:t>
            </w:r>
            <w:r>
              <w:rPr>
                <w:b/>
                <w:sz w:val="22"/>
              </w:rPr>
              <w:t xml:space="preserve">                         </w:t>
            </w:r>
            <w:proofErr w:type="spellStart"/>
            <w:r>
              <w:rPr>
                <w:sz w:val="20"/>
              </w:rPr>
              <w:t>KaStan</w:t>
            </w:r>
            <w:proofErr w:type="spellEnd"/>
            <w:r w:rsidRPr="00BD3F76">
              <w:rPr>
                <w:sz w:val="20"/>
              </w:rPr>
              <w:t xml:space="preserve">, 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BD3F76">
                <w:rPr>
                  <w:sz w:val="20"/>
                </w:rPr>
                <w:t>Libor Dupal</w:t>
              </w:r>
            </w:smartTag>
            <w:r w:rsidRPr="00BD3F76">
              <w:rPr>
                <w:sz w:val="20"/>
              </w:rPr>
              <w:t xml:space="preserve"> a kol.</w:t>
            </w:r>
          </w:p>
          <w:p w:rsidR="00D610C1" w:rsidRPr="00BD3F76" w:rsidRDefault="00D610C1" w:rsidP="00F5427A">
            <w:pPr>
              <w:spacing w:after="120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Termín splnění:</w:t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           </w:t>
            </w:r>
            <w:r w:rsidRPr="00BD3F76">
              <w:rPr>
                <w:sz w:val="20"/>
              </w:rPr>
              <w:t xml:space="preserve">do </w:t>
            </w:r>
            <w:r w:rsidRPr="00BD3F76">
              <w:rPr>
                <w:sz w:val="22"/>
              </w:rPr>
              <w:t>1</w:t>
            </w:r>
            <w:r w:rsidR="006A52F7">
              <w:rPr>
                <w:sz w:val="22"/>
              </w:rPr>
              <w:t>0</w:t>
            </w:r>
            <w:r w:rsidRPr="00BD3F76">
              <w:rPr>
                <w:sz w:val="22"/>
              </w:rPr>
              <w:t>. 11. 201</w:t>
            </w:r>
            <w:r w:rsidR="006A52F7">
              <w:rPr>
                <w:sz w:val="22"/>
              </w:rPr>
              <w:t>4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 </w:t>
            </w:r>
          </w:p>
          <w:p w:rsidR="00D610C1" w:rsidRPr="00BD3F76" w:rsidRDefault="00D610C1" w:rsidP="00F5427A">
            <w:pPr>
              <w:pStyle w:val="Text"/>
              <w:tabs>
                <w:tab w:val="clear" w:pos="227"/>
              </w:tabs>
              <w:spacing w:line="240" w:lineRule="auto"/>
              <w:ind w:left="2165" w:right="15" w:hanging="2165"/>
              <w:rPr>
                <w:rFonts w:ascii="Times New Roman" w:hAnsi="Times New Roman"/>
                <w:sz w:val="20"/>
              </w:rPr>
            </w:pPr>
            <w:r w:rsidRPr="00BD3F76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Smluvní cena:</w:t>
            </w:r>
            <w:r w:rsidRPr="00BD3F76">
              <w:rPr>
                <w:b/>
                <w:sz w:val="22"/>
              </w:rPr>
              <w:tab/>
            </w:r>
            <w:r w:rsidR="006A52F7">
              <w:rPr>
                <w:b/>
                <w:bCs/>
                <w:sz w:val="20"/>
                <w:lang w:val="en-GB"/>
              </w:rPr>
              <w:t>120.</w:t>
            </w:r>
            <w:r>
              <w:rPr>
                <w:b/>
                <w:bCs/>
                <w:sz w:val="20"/>
                <w:lang w:val="en-GB"/>
              </w:rPr>
              <w:t xml:space="preserve">000,00 </w:t>
            </w:r>
            <w:r w:rsidRPr="009F1219">
              <w:rPr>
                <w:rFonts w:ascii="Times New Roman" w:hAnsi="Times New Roman"/>
                <w:b/>
                <w:sz w:val="22"/>
              </w:rPr>
              <w:t>Kč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(slovy</w:t>
            </w:r>
            <w:r>
              <w:rPr>
                <w:rFonts w:ascii="Times New Roman" w:hAnsi="Times New Roman"/>
                <w:b/>
                <w:i/>
                <w:sz w:val="22"/>
              </w:rPr>
              <w:t> </w:t>
            </w:r>
            <w:proofErr w:type="spellStart"/>
            <w:r w:rsidR="006A52F7">
              <w:rPr>
                <w:rFonts w:ascii="Times New Roman" w:hAnsi="Times New Roman"/>
                <w:b/>
                <w:i/>
                <w:sz w:val="22"/>
              </w:rPr>
              <w:t>stodvacet</w:t>
            </w:r>
            <w:r>
              <w:rPr>
                <w:rFonts w:ascii="Times New Roman" w:hAnsi="Times New Roman"/>
                <w:b/>
                <w:i/>
                <w:sz w:val="22"/>
              </w:rPr>
              <w:t>t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isíckorunčeských</w:t>
            </w:r>
            <w:proofErr w:type="spellEnd"/>
            <w:r w:rsidRPr="00BD3F76">
              <w:rPr>
                <w:rFonts w:ascii="Times New Roman" w:hAnsi="Times New Roman"/>
                <w:i/>
                <w:sz w:val="20"/>
              </w:rPr>
              <w:t>)</w:t>
            </w:r>
            <w:r>
              <w:rPr>
                <w:rFonts w:ascii="Times New Roman" w:hAnsi="Times New Roman"/>
                <w:i/>
                <w:sz w:val="20"/>
              </w:rPr>
              <w:t> </w:t>
            </w:r>
            <w:r w:rsidRPr="00BD3F76">
              <w:rPr>
                <w:rFonts w:ascii="Times New Roman" w:hAnsi="Times New Roman"/>
                <w:sz w:val="20"/>
              </w:rPr>
              <w:t>včetně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D3F76">
              <w:rPr>
                <w:rFonts w:ascii="Times New Roman" w:hAnsi="Times New Roman"/>
                <w:sz w:val="20"/>
              </w:rPr>
              <w:t xml:space="preserve">DPH. </w:t>
            </w:r>
          </w:p>
          <w:p w:rsidR="006A52F7" w:rsidRDefault="00D610C1" w:rsidP="006A52F7">
            <w:pPr>
              <w:jc w:val="both"/>
              <w:rPr>
                <w:sz w:val="20"/>
                <w:szCs w:val="22"/>
              </w:rPr>
            </w:pPr>
            <w:r w:rsidRPr="00BD3F76">
              <w:rPr>
                <w:b/>
                <w:sz w:val="20"/>
              </w:rPr>
              <w:t>Oponenti</w:t>
            </w:r>
            <w:r w:rsidRPr="00D0130D">
              <w:rPr>
                <w:b/>
                <w:sz w:val="20"/>
              </w:rPr>
              <w:t>: </w:t>
            </w:r>
            <w:r w:rsidRPr="00D0130D">
              <w:rPr>
                <w:sz w:val="20"/>
              </w:rPr>
              <w:t xml:space="preserve">                         </w:t>
            </w:r>
            <w:r w:rsidR="006A52F7">
              <w:rPr>
                <w:sz w:val="20"/>
                <w:szCs w:val="22"/>
              </w:rPr>
              <w:t>Ing. S. Havlů (odbor technické normalizace ÚNMZ)</w:t>
            </w:r>
          </w:p>
          <w:p w:rsidR="006A52F7" w:rsidRDefault="006A52F7" w:rsidP="006A52F7">
            <w:pPr>
              <w:ind w:left="2165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Ing. P. Mamula (spotřebitelské sdružení) </w:t>
            </w:r>
          </w:p>
          <w:p w:rsidR="00D610C1" w:rsidRPr="006A52F7" w:rsidRDefault="006A52F7" w:rsidP="006A52F7">
            <w:pPr>
              <w:spacing w:after="120"/>
              <w:ind w:left="2165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P. Brynda</w:t>
            </w:r>
            <w:r w:rsidR="00D610C1" w:rsidRPr="00D0130D">
              <w:rPr>
                <w:sz w:val="18"/>
              </w:rPr>
              <w:t xml:space="preserve"> </w:t>
            </w:r>
            <w:r>
              <w:rPr>
                <w:sz w:val="20"/>
                <w:szCs w:val="22"/>
              </w:rPr>
              <w:t>(spotřebitelské sdružení)</w:t>
            </w:r>
          </w:p>
          <w:p w:rsidR="00D610C1" w:rsidRPr="00BD3F76" w:rsidRDefault="00D610C1" w:rsidP="00F5427A">
            <w:pPr>
              <w:ind w:left="2165" w:hanging="2165"/>
              <w:jc w:val="both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Výsledek řešení:</w:t>
            </w:r>
          </w:p>
          <w:p w:rsidR="00D610C1" w:rsidRDefault="00D610C1" w:rsidP="00F5427A">
            <w:pPr>
              <w:ind w:right="71"/>
              <w:rPr>
                <w:sz w:val="20"/>
              </w:rPr>
            </w:pPr>
          </w:p>
          <w:p w:rsidR="00D610C1" w:rsidRPr="00D0130D" w:rsidRDefault="00D610C1" w:rsidP="006A52F7">
            <w:pPr>
              <w:spacing w:after="240"/>
              <w:ind w:right="71"/>
              <w:rPr>
                <w:sz w:val="16"/>
              </w:rPr>
            </w:pPr>
            <w:r w:rsidRPr="00BD3F76">
              <w:rPr>
                <w:sz w:val="20"/>
              </w:rPr>
              <w:t>Byly splněny všechny úkoly dle zadání ve smlouvě.</w:t>
            </w:r>
          </w:p>
          <w:tbl>
            <w:tblPr>
              <w:tblW w:w="900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02"/>
            </w:tblGrid>
            <w:tr w:rsidR="006A52F7" w:rsidRPr="005D5A31" w:rsidTr="006A52F7">
              <w:trPr>
                <w:trHeight w:val="495"/>
              </w:trPr>
              <w:tc>
                <w:tcPr>
                  <w:tcW w:w="9002" w:type="dxa"/>
                  <w:shd w:val="clear" w:color="auto" w:fill="auto"/>
                </w:tcPr>
                <w:p w:rsidR="006A52F7" w:rsidRDefault="006A52F7" w:rsidP="006A52F7">
                  <w:pPr>
                    <w:numPr>
                      <w:ilvl w:val="0"/>
                      <w:numId w:val="32"/>
                    </w:numPr>
                    <w:spacing w:line="240" w:lineRule="atLeast"/>
                    <w:jc w:val="both"/>
                    <w:rPr>
                      <w:sz w:val="20"/>
                    </w:rPr>
                  </w:pPr>
                  <w:r w:rsidRPr="006A52F7">
                    <w:rPr>
                      <w:sz w:val="20"/>
                    </w:rPr>
                    <w:t>Dopracování textu Příručky Správné Praxe pro provoz dětských hřišť a sportovišť - 2. etapa; finalizace textů, dvě kola projednání</w:t>
                  </w:r>
                </w:p>
                <w:p w:rsidR="006A52F7" w:rsidRPr="006A52F7" w:rsidRDefault="006A52F7" w:rsidP="005163A1">
                  <w:pPr>
                    <w:spacing w:line="240" w:lineRule="atLeast"/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Realizováno</w:t>
                  </w:r>
                  <w:r w:rsidR="005163A1">
                    <w:rPr>
                      <w:sz w:val="20"/>
                    </w:rPr>
                    <w:t>, projednáno s širokým okruhem zainteresovaných osob</w:t>
                  </w:r>
                </w:p>
              </w:tc>
            </w:tr>
            <w:tr w:rsidR="006A52F7" w:rsidRPr="005D5A31" w:rsidTr="006A52F7">
              <w:trPr>
                <w:trHeight w:val="330"/>
              </w:trPr>
              <w:tc>
                <w:tcPr>
                  <w:tcW w:w="9002" w:type="dxa"/>
                  <w:shd w:val="clear" w:color="auto" w:fill="auto"/>
                </w:tcPr>
                <w:p w:rsidR="006A52F7" w:rsidRPr="005163A1" w:rsidRDefault="006A52F7" w:rsidP="006A52F7">
                  <w:pPr>
                    <w:numPr>
                      <w:ilvl w:val="0"/>
                      <w:numId w:val="32"/>
                    </w:numPr>
                    <w:spacing w:line="240" w:lineRule="atLeast"/>
                    <w:jc w:val="both"/>
                    <w:rPr>
                      <w:sz w:val="20"/>
                    </w:rPr>
                  </w:pPr>
                  <w:r w:rsidRPr="005163A1">
                    <w:rPr>
                      <w:sz w:val="20"/>
                    </w:rPr>
                    <w:t>Vydání příručky tiskem, verze pro elektronická média</w:t>
                  </w:r>
                </w:p>
                <w:p w:rsidR="006A52F7" w:rsidRPr="006A52F7" w:rsidRDefault="006A52F7" w:rsidP="006A52F7">
                  <w:pPr>
                    <w:spacing w:line="240" w:lineRule="atLeast"/>
                    <w:ind w:left="360"/>
                    <w:jc w:val="both"/>
                    <w:rPr>
                      <w:sz w:val="20"/>
                      <w:highlight w:val="yellow"/>
                    </w:rPr>
                  </w:pPr>
                  <w:r w:rsidRPr="005163A1">
                    <w:rPr>
                      <w:sz w:val="20"/>
                    </w:rPr>
                    <w:t>Realizováno</w:t>
                  </w:r>
                  <w:r w:rsidR="005163A1">
                    <w:rPr>
                      <w:sz w:val="20"/>
                    </w:rPr>
                    <w:t>, vydáno v nákladu 1000 ks, umístěno na web</w:t>
                  </w:r>
                </w:p>
              </w:tc>
            </w:tr>
            <w:tr w:rsidR="006A52F7" w:rsidRPr="005D5A31" w:rsidTr="006A52F7">
              <w:trPr>
                <w:trHeight w:val="283"/>
              </w:trPr>
              <w:tc>
                <w:tcPr>
                  <w:tcW w:w="9002" w:type="dxa"/>
                  <w:shd w:val="clear" w:color="auto" w:fill="auto"/>
                </w:tcPr>
                <w:p w:rsidR="006A52F7" w:rsidRPr="005163A1" w:rsidRDefault="006A52F7" w:rsidP="006A52F7">
                  <w:pPr>
                    <w:numPr>
                      <w:ilvl w:val="0"/>
                      <w:numId w:val="32"/>
                    </w:numPr>
                    <w:spacing w:line="240" w:lineRule="atLeast"/>
                    <w:jc w:val="both"/>
                    <w:rPr>
                      <w:sz w:val="20"/>
                    </w:rPr>
                  </w:pPr>
                  <w:r w:rsidRPr="005163A1">
                    <w:rPr>
                      <w:sz w:val="20"/>
                    </w:rPr>
                    <w:t>Národní konference ke</w:t>
                  </w:r>
                  <w:r w:rsidR="005163A1">
                    <w:rPr>
                      <w:sz w:val="20"/>
                    </w:rPr>
                    <w:t xml:space="preserve"> zviditelnění příručky a tématu</w:t>
                  </w:r>
                  <w:r w:rsidRPr="005163A1">
                    <w:rPr>
                      <w:sz w:val="20"/>
                    </w:rPr>
                    <w:t xml:space="preserve"> úlohy norem včetně dostupnosti systému normy-on-line </w:t>
                  </w:r>
                </w:p>
                <w:p w:rsidR="006A52F7" w:rsidRPr="006A52F7" w:rsidRDefault="006A52F7" w:rsidP="006A52F7">
                  <w:pPr>
                    <w:spacing w:line="240" w:lineRule="atLeast"/>
                    <w:ind w:left="360"/>
                    <w:jc w:val="both"/>
                    <w:rPr>
                      <w:sz w:val="20"/>
                      <w:highlight w:val="yellow"/>
                    </w:rPr>
                  </w:pPr>
                  <w:r w:rsidRPr="005163A1">
                    <w:rPr>
                      <w:sz w:val="20"/>
                    </w:rPr>
                    <w:t>Realizováno</w:t>
                  </w:r>
                  <w:r w:rsidR="005163A1">
                    <w:rPr>
                      <w:sz w:val="20"/>
                    </w:rPr>
                    <w:t>, akce konána dne 21. 10. 2014</w:t>
                  </w:r>
                </w:p>
              </w:tc>
            </w:tr>
            <w:tr w:rsidR="006A52F7" w:rsidRPr="005D5A31" w:rsidTr="006A52F7">
              <w:trPr>
                <w:trHeight w:val="315"/>
              </w:trPr>
              <w:tc>
                <w:tcPr>
                  <w:tcW w:w="9002" w:type="dxa"/>
                  <w:shd w:val="clear" w:color="auto" w:fill="auto"/>
                </w:tcPr>
                <w:p w:rsidR="006A52F7" w:rsidRDefault="006A52F7" w:rsidP="006A52F7">
                  <w:pPr>
                    <w:numPr>
                      <w:ilvl w:val="0"/>
                      <w:numId w:val="32"/>
                    </w:numPr>
                    <w:spacing w:line="240" w:lineRule="atLeast"/>
                    <w:jc w:val="both"/>
                    <w:rPr>
                      <w:sz w:val="20"/>
                    </w:rPr>
                  </w:pPr>
                  <w:r w:rsidRPr="006A52F7">
                    <w:rPr>
                      <w:sz w:val="20"/>
                    </w:rPr>
                    <w:t>Závěrečná zpráva, oponentura</w:t>
                  </w:r>
                </w:p>
                <w:p w:rsidR="006A52F7" w:rsidRPr="006A52F7" w:rsidRDefault="006A52F7" w:rsidP="006A52F7">
                  <w:pPr>
                    <w:spacing w:line="240" w:lineRule="atLeast"/>
                    <w:ind w:left="36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Realizováno</w:t>
                  </w:r>
                </w:p>
              </w:tc>
            </w:tr>
          </w:tbl>
          <w:p w:rsidR="00D610C1" w:rsidRDefault="00D610C1" w:rsidP="006A52F7">
            <w:pPr>
              <w:ind w:right="71"/>
              <w:jc w:val="both"/>
              <w:rPr>
                <w:sz w:val="20"/>
              </w:rPr>
            </w:pPr>
          </w:p>
          <w:p w:rsidR="00D610C1" w:rsidRPr="00CE3AFB" w:rsidRDefault="00D610C1" w:rsidP="00F5427A">
            <w:pPr>
              <w:tabs>
                <w:tab w:val="num" w:pos="732"/>
              </w:tabs>
              <w:ind w:left="732" w:right="71"/>
              <w:jc w:val="both"/>
              <w:rPr>
                <w:sz w:val="28"/>
              </w:rPr>
            </w:pPr>
            <w:bookmarkStart w:id="0" w:name="_GoBack"/>
            <w:bookmarkEnd w:id="0"/>
          </w:p>
          <w:p w:rsidR="00D610C1" w:rsidRDefault="00D610C1" w:rsidP="00F5427A">
            <w:pPr>
              <w:spacing w:after="12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Podpis řešitele: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D610C1" w:rsidRPr="00CE3AFB" w:rsidRDefault="00D610C1" w:rsidP="00F5427A">
            <w:pPr>
              <w:spacing w:after="120"/>
              <w:rPr>
                <w:b/>
                <w:sz w:val="16"/>
              </w:rPr>
            </w:pPr>
          </w:p>
          <w:p w:rsidR="00D610C1" w:rsidRPr="00BD3F76" w:rsidRDefault="00D610C1" w:rsidP="00F5427A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 xml:space="preserve">Podpis statutárního </w:t>
            </w:r>
          </w:p>
          <w:p w:rsidR="00D610C1" w:rsidRDefault="00D610C1" w:rsidP="00F5427A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zástupce zhotovitele: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D610C1" w:rsidRPr="00CE3AFB" w:rsidRDefault="00D610C1" w:rsidP="00F5427A">
            <w:pPr>
              <w:rPr>
                <w:b/>
                <w:sz w:val="20"/>
              </w:rPr>
            </w:pPr>
          </w:p>
          <w:p w:rsidR="00D610C1" w:rsidRPr="00BD3F76" w:rsidRDefault="00D610C1" w:rsidP="00F5427A">
            <w:pPr>
              <w:rPr>
                <w:b/>
                <w:sz w:val="14"/>
                <w:szCs w:val="18"/>
              </w:rPr>
            </w:pPr>
          </w:p>
          <w:p w:rsidR="00D610C1" w:rsidRPr="00BD3F76" w:rsidRDefault="00D610C1" w:rsidP="00F5427A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Místo a datum vydání</w:t>
            </w:r>
            <w:r w:rsidRPr="00BD3F76">
              <w:rPr>
                <w:b/>
                <w:sz w:val="22"/>
              </w:rPr>
              <w:t xml:space="preserve">              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color w:val="000000"/>
                <w:sz w:val="20"/>
              </w:rPr>
              <w:t>Praha, 201</w:t>
            </w:r>
            <w:r w:rsidR="006A52F7">
              <w:rPr>
                <w:color w:val="000000"/>
                <w:sz w:val="20"/>
              </w:rPr>
              <w:t>4</w:t>
            </w:r>
            <w:r w:rsidRPr="00BD3F76">
              <w:rPr>
                <w:color w:val="000000"/>
                <w:sz w:val="20"/>
              </w:rPr>
              <w:t>-</w:t>
            </w:r>
            <w:r w:rsidR="006E0C3C">
              <w:rPr>
                <w:color w:val="000000"/>
                <w:sz w:val="20"/>
              </w:rPr>
              <w:t>10-24</w:t>
            </w:r>
          </w:p>
          <w:p w:rsidR="00D610C1" w:rsidRPr="00BD3F76" w:rsidRDefault="00D610C1" w:rsidP="00F5427A">
            <w:pPr>
              <w:rPr>
                <w:b/>
                <w:sz w:val="12"/>
                <w:szCs w:val="16"/>
                <w:u w:val="single"/>
              </w:rPr>
            </w:pPr>
          </w:p>
        </w:tc>
      </w:tr>
    </w:tbl>
    <w:p w:rsidR="000D37AA" w:rsidRDefault="000D37AA" w:rsidP="000D37AA">
      <w:pPr>
        <w:jc w:val="both"/>
      </w:pPr>
    </w:p>
    <w:p w:rsidR="0061048D" w:rsidRDefault="0061048D" w:rsidP="004A67AE">
      <w:pPr>
        <w:jc w:val="both"/>
        <w:rPr>
          <w:sz w:val="22"/>
          <w:szCs w:val="22"/>
        </w:rPr>
      </w:pPr>
    </w:p>
    <w:sectPr w:rsidR="0061048D" w:rsidSect="000D37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B2" w:rsidRDefault="00D451B2">
      <w:r>
        <w:separator/>
      </w:r>
    </w:p>
  </w:endnote>
  <w:endnote w:type="continuationSeparator" w:id="0">
    <w:p w:rsidR="00D451B2" w:rsidRDefault="00D4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C3C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483"/>
      <w:gridCol w:w="612"/>
    </w:tblGrid>
    <w:tr w:rsidR="004A67AE" w:rsidTr="00CC55F1">
      <w:tc>
        <w:tcPr>
          <w:tcW w:w="2622" w:type="dxa"/>
        </w:tcPr>
        <w:p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:rsidR="00CC55F1" w:rsidRPr="00CC55F1" w:rsidRDefault="00D451B2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4A67AE" w:rsidRDefault="004A67AE">
          <w:pPr>
            <w:jc w:val="right"/>
            <w:rPr>
              <w:sz w:val="18"/>
            </w:rPr>
          </w:pPr>
        </w:p>
      </w:tc>
      <w:tc>
        <w:tcPr>
          <w:tcW w:w="5483" w:type="dxa"/>
        </w:tcPr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D37AA" w:rsidRPr="00A3658A" w:rsidRDefault="000D37AA" w:rsidP="000D37AA">
          <w:pPr>
            <w:pStyle w:val="Nadpis1"/>
            <w:spacing w:before="0" w:after="0"/>
            <w:jc w:val="right"/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 w:val="0"/>
                <w:color w:val="595959"/>
                <w:spacing w:val="10"/>
                <w:kern w:val="0"/>
                <w:sz w:val="18"/>
                <w:szCs w:val="16"/>
              </w:rPr>
              <w:t>normy@regio.cz</w:t>
            </w:r>
          </w:hyperlink>
        </w:p>
        <w:p w:rsidR="00CC55F1" w:rsidRPr="00CC55F1" w:rsidRDefault="00CC55F1" w:rsidP="000D37AA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612" w:type="dxa"/>
          <w:vAlign w:val="center"/>
        </w:tcPr>
        <w:p w:rsidR="004A67AE" w:rsidRDefault="004A67AE">
          <w:pPr>
            <w:jc w:val="right"/>
            <w:rPr>
              <w:sz w:val="8"/>
            </w:rPr>
          </w:pPr>
        </w:p>
        <w:p w:rsidR="004A67AE" w:rsidRDefault="004A67AE">
          <w:pPr>
            <w:jc w:val="right"/>
          </w:pPr>
        </w:p>
      </w:tc>
    </w:tr>
  </w:tbl>
  <w:p w:rsidR="004A67AE" w:rsidRDefault="004A67A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B2" w:rsidRDefault="00D451B2">
      <w:r>
        <w:separator/>
      </w:r>
    </w:p>
  </w:footnote>
  <w:footnote w:type="continuationSeparator" w:id="0">
    <w:p w:rsidR="00D451B2" w:rsidRDefault="00D4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5940"/>
    </w:tblGrid>
    <w:tr w:rsidR="004A67AE">
      <w:tc>
        <w:tcPr>
          <w:tcW w:w="3130" w:type="dxa"/>
          <w:tcBorders>
            <w:bottom w:val="single" w:sz="18" w:space="0" w:color="333399"/>
          </w:tcBorders>
        </w:tcPr>
        <w:p w:rsidR="004A67AE" w:rsidRDefault="004A67AE">
          <w:pPr>
            <w:spacing w:line="360" w:lineRule="auto"/>
            <w:rPr>
              <w:sz w:val="6"/>
            </w:rPr>
          </w:pPr>
        </w:p>
        <w:p w:rsidR="004A67AE" w:rsidRDefault="003F4B3B">
          <w:pPr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1487170" cy="492760"/>
                <wp:effectExtent l="0" t="0" r="0" b="2540"/>
                <wp:docPr id="1" name="obrázek 1" descr="logokabi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bi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bottom w:val="single" w:sz="18" w:space="0" w:color="333399"/>
          </w:tcBorders>
          <w:vAlign w:val="center"/>
        </w:tcPr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3F4B3B" w:rsidP="001166A4">
          <w:pPr>
            <w:pStyle w:val="Nadpis4"/>
            <w:tabs>
              <w:tab w:val="left" w:pos="7960"/>
            </w:tabs>
            <w:ind w:left="1190" w:right="-70"/>
            <w:rPr>
              <w:spacing w:val="16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890270" cy="278130"/>
                <wp:effectExtent l="0" t="0" r="5080" b="7620"/>
                <wp:docPr id="2" name="obrázek 2" descr="logotopnor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opnorm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A67AE">
            <w:rPr>
              <w:spacing w:val="16"/>
            </w:rPr>
            <w:t xml:space="preserve">      </w:t>
          </w:r>
        </w:p>
      </w:tc>
    </w:tr>
  </w:tbl>
  <w:p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961E9"/>
    <w:multiLevelType w:val="hybridMultilevel"/>
    <w:tmpl w:val="C39A65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4"/>
  </w:num>
  <w:num w:numId="5">
    <w:abstractNumId w:val="23"/>
  </w:num>
  <w:num w:numId="6">
    <w:abstractNumId w:val="19"/>
  </w:num>
  <w:num w:numId="7">
    <w:abstractNumId w:val="8"/>
  </w:num>
  <w:num w:numId="8">
    <w:abstractNumId w:val="31"/>
  </w:num>
  <w:num w:numId="9">
    <w:abstractNumId w:val="29"/>
  </w:num>
  <w:num w:numId="10">
    <w:abstractNumId w:val="5"/>
  </w:num>
  <w:num w:numId="11">
    <w:abstractNumId w:val="22"/>
  </w:num>
  <w:num w:numId="12">
    <w:abstractNumId w:val="18"/>
  </w:num>
  <w:num w:numId="13">
    <w:abstractNumId w:val="27"/>
  </w:num>
  <w:num w:numId="14">
    <w:abstractNumId w:val="6"/>
  </w:num>
  <w:num w:numId="15">
    <w:abstractNumId w:val="17"/>
  </w:num>
  <w:num w:numId="16">
    <w:abstractNumId w:val="12"/>
  </w:num>
  <w:num w:numId="17">
    <w:abstractNumId w:val="2"/>
  </w:num>
  <w:num w:numId="18">
    <w:abstractNumId w:val="28"/>
  </w:num>
  <w:num w:numId="19">
    <w:abstractNumId w:val="24"/>
  </w:num>
  <w:num w:numId="20">
    <w:abstractNumId w:val="9"/>
  </w:num>
  <w:num w:numId="21">
    <w:abstractNumId w:val="14"/>
  </w:num>
  <w:num w:numId="22">
    <w:abstractNumId w:val="25"/>
  </w:num>
  <w:num w:numId="23">
    <w:abstractNumId w:val="21"/>
  </w:num>
  <w:num w:numId="24">
    <w:abstractNumId w:val="30"/>
  </w:num>
  <w:num w:numId="25">
    <w:abstractNumId w:val="3"/>
  </w:num>
  <w:num w:numId="26">
    <w:abstractNumId w:val="1"/>
  </w:num>
  <w:num w:numId="27">
    <w:abstractNumId w:val="16"/>
  </w:num>
  <w:num w:numId="28">
    <w:abstractNumId w:val="11"/>
  </w:num>
  <w:num w:numId="29">
    <w:abstractNumId w:val="7"/>
  </w:num>
  <w:num w:numId="30">
    <w:abstractNumId w:val="13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212DE"/>
    <w:rsid w:val="00042653"/>
    <w:rsid w:val="00044F28"/>
    <w:rsid w:val="00072B46"/>
    <w:rsid w:val="000869E7"/>
    <w:rsid w:val="000A1CBC"/>
    <w:rsid w:val="000D37AA"/>
    <w:rsid w:val="00116459"/>
    <w:rsid w:val="001166A4"/>
    <w:rsid w:val="001858D9"/>
    <w:rsid w:val="00186897"/>
    <w:rsid w:val="001C10D1"/>
    <w:rsid w:val="001E6640"/>
    <w:rsid w:val="001F0DA0"/>
    <w:rsid w:val="00250C93"/>
    <w:rsid w:val="002C332E"/>
    <w:rsid w:val="002D094E"/>
    <w:rsid w:val="00310F19"/>
    <w:rsid w:val="00320523"/>
    <w:rsid w:val="00363535"/>
    <w:rsid w:val="0036655E"/>
    <w:rsid w:val="003906F3"/>
    <w:rsid w:val="003A7D01"/>
    <w:rsid w:val="003B6524"/>
    <w:rsid w:val="003F4B3B"/>
    <w:rsid w:val="0041705A"/>
    <w:rsid w:val="00437678"/>
    <w:rsid w:val="00440174"/>
    <w:rsid w:val="00462247"/>
    <w:rsid w:val="004665BF"/>
    <w:rsid w:val="00492186"/>
    <w:rsid w:val="004A67AE"/>
    <w:rsid w:val="004C7184"/>
    <w:rsid w:val="004D31FB"/>
    <w:rsid w:val="004F423B"/>
    <w:rsid w:val="005163A1"/>
    <w:rsid w:val="005332C0"/>
    <w:rsid w:val="00540830"/>
    <w:rsid w:val="00580BA5"/>
    <w:rsid w:val="00596128"/>
    <w:rsid w:val="005979AF"/>
    <w:rsid w:val="005B2F69"/>
    <w:rsid w:val="005D77A1"/>
    <w:rsid w:val="005E4337"/>
    <w:rsid w:val="0060473E"/>
    <w:rsid w:val="0061048D"/>
    <w:rsid w:val="00616C1A"/>
    <w:rsid w:val="00664BF3"/>
    <w:rsid w:val="006674D1"/>
    <w:rsid w:val="006A0B2D"/>
    <w:rsid w:val="006A52F7"/>
    <w:rsid w:val="006E0C3C"/>
    <w:rsid w:val="007169B6"/>
    <w:rsid w:val="00741282"/>
    <w:rsid w:val="00750C21"/>
    <w:rsid w:val="007553AB"/>
    <w:rsid w:val="00761E62"/>
    <w:rsid w:val="007D4BA9"/>
    <w:rsid w:val="008025BA"/>
    <w:rsid w:val="00815610"/>
    <w:rsid w:val="00876265"/>
    <w:rsid w:val="008A3042"/>
    <w:rsid w:val="008C1064"/>
    <w:rsid w:val="00956955"/>
    <w:rsid w:val="00997132"/>
    <w:rsid w:val="00A102A2"/>
    <w:rsid w:val="00A3658A"/>
    <w:rsid w:val="00A62FFD"/>
    <w:rsid w:val="00AA0040"/>
    <w:rsid w:val="00AA4424"/>
    <w:rsid w:val="00AF6684"/>
    <w:rsid w:val="00AF6E7B"/>
    <w:rsid w:val="00B213BD"/>
    <w:rsid w:val="00B2184E"/>
    <w:rsid w:val="00B311CE"/>
    <w:rsid w:val="00B76FEA"/>
    <w:rsid w:val="00BB46D0"/>
    <w:rsid w:val="00BC3E7B"/>
    <w:rsid w:val="00C1067B"/>
    <w:rsid w:val="00C20474"/>
    <w:rsid w:val="00C22D18"/>
    <w:rsid w:val="00C32466"/>
    <w:rsid w:val="00C779CB"/>
    <w:rsid w:val="00CA4E4C"/>
    <w:rsid w:val="00CC55F1"/>
    <w:rsid w:val="00CE30FE"/>
    <w:rsid w:val="00D27474"/>
    <w:rsid w:val="00D31AD3"/>
    <w:rsid w:val="00D451B2"/>
    <w:rsid w:val="00D610C1"/>
    <w:rsid w:val="00D62289"/>
    <w:rsid w:val="00D81999"/>
    <w:rsid w:val="00D85D5E"/>
    <w:rsid w:val="00D963D1"/>
    <w:rsid w:val="00DB0699"/>
    <w:rsid w:val="00E163E3"/>
    <w:rsid w:val="00E32BC7"/>
    <w:rsid w:val="00EA3C67"/>
    <w:rsid w:val="00EB56FD"/>
    <w:rsid w:val="00F4375C"/>
    <w:rsid w:val="00F744A5"/>
    <w:rsid w:val="00F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61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0C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D610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61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0C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D610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1535</CharactersWithSpaces>
  <SharedDoc>false</SharedDoc>
  <HLinks>
    <vt:vector size="12" baseType="variant">
      <vt:variant>
        <vt:i4>1966122</vt:i4>
      </vt:variant>
      <vt:variant>
        <vt:i4>8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5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 Dupal</cp:lastModifiedBy>
  <cp:revision>6</cp:revision>
  <cp:lastPrinted>2011-03-30T08:58:00Z</cp:lastPrinted>
  <dcterms:created xsi:type="dcterms:W3CDTF">2014-07-23T11:31:00Z</dcterms:created>
  <dcterms:modified xsi:type="dcterms:W3CDTF">2014-10-31T03:35:00Z</dcterms:modified>
</cp:coreProperties>
</file>