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49" w:rsidRPr="00D242D3" w:rsidRDefault="00285249" w:rsidP="00D242D3">
      <w:pPr>
        <w:spacing w:after="120"/>
        <w:jc w:val="both"/>
        <w:rPr>
          <w:sz w:val="20"/>
          <w:szCs w:val="20"/>
        </w:rPr>
      </w:pPr>
      <w:bookmarkStart w:id="0" w:name="_GoBack"/>
      <w:bookmarkEnd w:id="0"/>
      <w:r w:rsidRPr="00D242D3">
        <w:rPr>
          <w:sz w:val="20"/>
          <w:szCs w:val="20"/>
        </w:rPr>
        <w:t>10 Chování trhu</w:t>
      </w:r>
    </w:p>
    <w:p w:rsidR="00285249" w:rsidRPr="00D242D3" w:rsidRDefault="00285249" w:rsidP="00D242D3">
      <w:pPr>
        <w:spacing w:after="120"/>
        <w:jc w:val="both"/>
        <w:rPr>
          <w:sz w:val="20"/>
          <w:szCs w:val="20"/>
        </w:rPr>
      </w:pPr>
      <w:r w:rsidRPr="00D242D3">
        <w:rPr>
          <w:sz w:val="20"/>
          <w:szCs w:val="20"/>
        </w:rPr>
        <w:t>14 Zranitelný spotřebitel</w:t>
      </w:r>
    </w:p>
    <w:p w:rsidR="00285249" w:rsidRPr="00D242D3" w:rsidRDefault="00285249" w:rsidP="00D242D3">
      <w:pPr>
        <w:spacing w:after="120"/>
        <w:jc w:val="both"/>
        <w:rPr>
          <w:b/>
          <w:sz w:val="20"/>
          <w:szCs w:val="20"/>
        </w:rPr>
      </w:pPr>
      <w:r w:rsidRPr="00D242D3">
        <w:rPr>
          <w:b/>
          <w:sz w:val="20"/>
          <w:szCs w:val="20"/>
        </w:rPr>
        <w:t>Vývoj v roce 201</w:t>
      </w:r>
      <w:r w:rsidR="00D242D3" w:rsidRPr="00D242D3">
        <w:rPr>
          <w:b/>
          <w:sz w:val="20"/>
          <w:szCs w:val="20"/>
        </w:rPr>
        <w:t>6</w:t>
      </w:r>
      <w:r w:rsidRPr="00D242D3">
        <w:rPr>
          <w:b/>
          <w:sz w:val="20"/>
          <w:szCs w:val="20"/>
        </w:rPr>
        <w:t xml:space="preserve"> (zpracováno s podporou projektu FP švýcarsko-české spolupráce</w:t>
      </w:r>
      <w:r w:rsidR="00DB2F77" w:rsidRPr="00D242D3">
        <w:rPr>
          <w:b/>
          <w:sz w:val="20"/>
          <w:szCs w:val="20"/>
        </w:rPr>
        <w:t>)</w:t>
      </w:r>
    </w:p>
    <w:p w:rsidR="00285249" w:rsidRPr="00D242D3" w:rsidRDefault="00285249" w:rsidP="00D242D3">
      <w:pPr>
        <w:spacing w:after="120"/>
        <w:jc w:val="both"/>
        <w:rPr>
          <w:sz w:val="20"/>
          <w:szCs w:val="20"/>
        </w:rPr>
      </w:pPr>
      <w:r w:rsidRPr="00D242D3">
        <w:rPr>
          <w:noProof/>
          <w:sz w:val="20"/>
          <w:szCs w:val="20"/>
        </w:rPr>
        <w:drawing>
          <wp:inline distT="0" distB="0" distL="0" distR="0" wp14:anchorId="39E09C55" wp14:editId="78DA3E5E">
            <wp:extent cx="1444448" cy="516368"/>
            <wp:effectExtent l="0" t="0" r="3810" b="0"/>
            <wp:docPr id="27652" name="obrázek 1" descr="SWISS_Cntrb_LOGO_MO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 name="obrázek 1" descr="SWISS_Cntrb_LOGO_MOD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686" cy="519670"/>
                    </a:xfrm>
                    <a:prstGeom prst="rect">
                      <a:avLst/>
                    </a:prstGeom>
                    <a:noFill/>
                    <a:ln>
                      <a:noFill/>
                    </a:ln>
                    <a:extLst/>
                  </pic:spPr>
                </pic:pic>
              </a:graphicData>
            </a:graphic>
          </wp:inline>
        </w:drawing>
      </w:r>
    </w:p>
    <w:p w:rsidR="00D242D3" w:rsidRPr="00D242D3" w:rsidRDefault="00D242D3" w:rsidP="00D242D3">
      <w:pPr>
        <w:pStyle w:val="Odstavecseseznamem"/>
        <w:spacing w:after="120"/>
        <w:ind w:left="0" w:right="-286"/>
        <w:jc w:val="both"/>
        <w:rPr>
          <w:sz w:val="20"/>
          <w:szCs w:val="20"/>
        </w:rPr>
      </w:pPr>
      <w:r w:rsidRPr="00D242D3">
        <w:rPr>
          <w:sz w:val="20"/>
          <w:szCs w:val="20"/>
        </w:rPr>
        <w:t xml:space="preserve">Aktivita ad 14 podporuje následující evropské politiky a právní předpisy: Roční Pracovní Program Evropské unie pro evropskou normalizaci; Postupný plán pro normalizaci pro informační a komunikační technologie; Digitální agenda pro Evropu; Program EU pro spotřebitele 2020 (cíle: zlepšení bezpečnosti spotřebitelů; zlepšování provádění; posílení prosazování a zajištění nápravy); Evropská strategie pro zdravotně postižené 2010-2020 (oblast činnosti: přístupnost). </w:t>
      </w:r>
    </w:p>
    <w:p w:rsidR="00D242D3" w:rsidRPr="00D242D3" w:rsidRDefault="00D242D3" w:rsidP="00D242D3">
      <w:pPr>
        <w:spacing w:after="120" w:line="259" w:lineRule="auto"/>
        <w:ind w:right="-286"/>
        <w:jc w:val="both"/>
        <w:rPr>
          <w:b/>
          <w:sz w:val="20"/>
          <w:szCs w:val="20"/>
        </w:rPr>
      </w:pPr>
      <w:r>
        <w:rPr>
          <w:b/>
          <w:sz w:val="20"/>
          <w:szCs w:val="20"/>
        </w:rPr>
        <w:t>Příklady řešených problematik</w:t>
      </w:r>
    </w:p>
    <w:p w:rsidR="00D242D3" w:rsidRPr="00D242D3" w:rsidRDefault="00D242D3" w:rsidP="00D242D3">
      <w:pPr>
        <w:pStyle w:val="Odstavecseseznamem"/>
        <w:numPr>
          <w:ilvl w:val="0"/>
          <w:numId w:val="29"/>
        </w:numPr>
        <w:spacing w:after="120" w:line="259" w:lineRule="auto"/>
        <w:ind w:right="-286"/>
        <w:jc w:val="both"/>
        <w:rPr>
          <w:b/>
          <w:sz w:val="20"/>
          <w:szCs w:val="20"/>
        </w:rPr>
      </w:pPr>
      <w:r w:rsidRPr="00D242D3">
        <w:rPr>
          <w:b/>
          <w:sz w:val="20"/>
          <w:szCs w:val="20"/>
        </w:rPr>
        <w:t xml:space="preserve">Politická dohoda ohledně návrhu směrnice o přístupnosti webu </w:t>
      </w:r>
    </w:p>
    <w:p w:rsidR="00D242D3" w:rsidRPr="00D242D3" w:rsidRDefault="00D242D3" w:rsidP="00D242D3">
      <w:pPr>
        <w:spacing w:after="120"/>
        <w:ind w:right="-286"/>
        <w:jc w:val="both"/>
        <w:rPr>
          <w:sz w:val="20"/>
          <w:szCs w:val="20"/>
        </w:rPr>
      </w:pPr>
      <w:r w:rsidRPr="00D242D3">
        <w:rPr>
          <w:sz w:val="20"/>
          <w:szCs w:val="20"/>
        </w:rPr>
        <w:t xml:space="preserve">Dne 3. května </w:t>
      </w:r>
      <w:r w:rsidRPr="00D242D3">
        <w:rPr>
          <w:b/>
          <w:sz w:val="20"/>
          <w:szCs w:val="20"/>
        </w:rPr>
        <w:t xml:space="preserve">Evropský parlament, Rada </w:t>
      </w:r>
      <w:r w:rsidRPr="00D242D3">
        <w:rPr>
          <w:sz w:val="20"/>
          <w:szCs w:val="20"/>
        </w:rPr>
        <w:t>a</w:t>
      </w:r>
      <w:r w:rsidRPr="00D242D3">
        <w:rPr>
          <w:b/>
          <w:sz w:val="20"/>
          <w:szCs w:val="20"/>
        </w:rPr>
        <w:t xml:space="preserve"> Evropská komise</w:t>
      </w:r>
      <w:r w:rsidRPr="00D242D3">
        <w:rPr>
          <w:sz w:val="20"/>
          <w:szCs w:val="20"/>
        </w:rPr>
        <w:t xml:space="preserve"> dosáhly politické </w:t>
      </w:r>
      <w:r w:rsidRPr="00D242D3">
        <w:rPr>
          <w:b/>
          <w:sz w:val="20"/>
          <w:szCs w:val="20"/>
        </w:rPr>
        <w:t>dohody</w:t>
      </w:r>
      <w:r w:rsidRPr="00D242D3">
        <w:rPr>
          <w:sz w:val="20"/>
          <w:szCs w:val="20"/>
        </w:rPr>
        <w:t xml:space="preserve"> ohledně návrhu směrnice o přístupnosti webových stránek orgánů veřejné správy. Tři roky po zveřejnění návrhu během třístranných jednání nizozemské předsednictví Rady a Evropského parlamentu dosáhlo neformální dohody o celoevropských pravidlech na zpřístupnění webových stránek a mobilních aplikací subjektů veřejného sektoru. </w:t>
      </w:r>
    </w:p>
    <w:p w:rsidR="00D242D3" w:rsidRPr="00D242D3" w:rsidRDefault="00D242D3" w:rsidP="00D242D3">
      <w:pPr>
        <w:spacing w:after="120"/>
        <w:ind w:right="-286"/>
        <w:jc w:val="both"/>
        <w:rPr>
          <w:sz w:val="20"/>
          <w:szCs w:val="20"/>
        </w:rPr>
      </w:pPr>
      <w:r w:rsidRPr="00D242D3">
        <w:rPr>
          <w:sz w:val="20"/>
          <w:szCs w:val="20"/>
        </w:rPr>
        <w:t>Spotřebitelé vývoj vítají s tím, že se jedná o rámec, díky kterému se zlepší přístupnost pro různé skupiny zranitelných spotřebitelů. Návrh směrnice také vyžaduje pravidelné sledování ze strany členských států, za současného reportování Evropské komisi. Členské státy budou nyní mít 21 měsíců na převedení textu do svých vnitrostátních právních předpisů.</w:t>
      </w:r>
    </w:p>
    <w:p w:rsidR="00D242D3" w:rsidRPr="00D242D3" w:rsidRDefault="00D242D3" w:rsidP="00D242D3">
      <w:pPr>
        <w:pStyle w:val="Odstavecseseznamem"/>
        <w:spacing w:after="120"/>
        <w:ind w:left="0" w:right="-286"/>
        <w:jc w:val="both"/>
        <w:rPr>
          <w:sz w:val="20"/>
          <w:szCs w:val="20"/>
        </w:rPr>
      </w:pPr>
      <w:r w:rsidRPr="00D242D3">
        <w:rPr>
          <w:sz w:val="20"/>
          <w:szCs w:val="20"/>
        </w:rPr>
        <w:t xml:space="preserve">V poslední fázi vývoje návrhu směrnice o přístupnosti webu spolupracovalo SČS s ANEC na upřesnění textu směrnice a distribuovalo při národní konferenci „normy a </w:t>
      </w:r>
      <w:proofErr w:type="spellStart"/>
      <w:r w:rsidRPr="00D242D3">
        <w:rPr>
          <w:sz w:val="20"/>
          <w:szCs w:val="20"/>
        </w:rPr>
        <w:t>szranitelní</w:t>
      </w:r>
      <w:proofErr w:type="spellEnd"/>
      <w:r w:rsidRPr="00D242D3">
        <w:rPr>
          <w:sz w:val="20"/>
          <w:szCs w:val="20"/>
        </w:rPr>
        <w:t xml:space="preserve"> spotřebitelé“ k tomuto tématu dopis s výzvou na zohlednění všech náležitých aspektů (viz informace ke konání konference ve vlastní závěrečné zprávě, anebo </w:t>
      </w:r>
      <w:hyperlink r:id="rId9" w:history="1">
        <w:r w:rsidRPr="00D242D3">
          <w:rPr>
            <w:rStyle w:val="Hypertextovodkaz"/>
            <w:sz w:val="20"/>
            <w:szCs w:val="20"/>
          </w:rPr>
          <w:t>ZDE</w:t>
        </w:r>
      </w:hyperlink>
      <w:r w:rsidRPr="00D242D3">
        <w:rPr>
          <w:sz w:val="20"/>
          <w:szCs w:val="20"/>
        </w:rPr>
        <w:t>.).</w:t>
      </w:r>
    </w:p>
    <w:p w:rsidR="00D242D3" w:rsidRPr="00D242D3" w:rsidRDefault="00D242D3" w:rsidP="00D242D3">
      <w:pPr>
        <w:pStyle w:val="Odstavecseseznamem"/>
        <w:numPr>
          <w:ilvl w:val="0"/>
          <w:numId w:val="29"/>
        </w:numPr>
        <w:spacing w:after="120" w:line="259" w:lineRule="auto"/>
        <w:ind w:right="-286"/>
        <w:jc w:val="both"/>
        <w:rPr>
          <w:b/>
          <w:sz w:val="20"/>
          <w:szCs w:val="20"/>
        </w:rPr>
      </w:pPr>
      <w:r w:rsidRPr="00D242D3">
        <w:rPr>
          <w:b/>
          <w:sz w:val="20"/>
          <w:szCs w:val="20"/>
        </w:rPr>
        <w:t>Evropský akt o přístupnosti …</w:t>
      </w:r>
    </w:p>
    <w:p w:rsidR="00D242D3" w:rsidRPr="00D242D3" w:rsidRDefault="00D242D3" w:rsidP="00D242D3">
      <w:pPr>
        <w:spacing w:after="120"/>
        <w:ind w:right="-286"/>
        <w:jc w:val="both"/>
        <w:rPr>
          <w:sz w:val="20"/>
          <w:szCs w:val="20"/>
        </w:rPr>
      </w:pPr>
      <w:r w:rsidRPr="00D242D3">
        <w:rPr>
          <w:sz w:val="20"/>
          <w:szCs w:val="20"/>
        </w:rPr>
        <w:t xml:space="preserve">Evropská komise zpracovává návrh směrnice o požadavcích na přístupnost pro určité výrobky a služby. Přístupností se rozumí použitelnost pro všechny spotřebitele, včetně zvlášť zranitelných spotřebitelů – seniorů, osob se zdravotním postižením, apod.). K návrhu probíhají veřejné konzultace – více </w:t>
      </w:r>
      <w:hyperlink r:id="rId10" w:history="1">
        <w:r w:rsidRPr="00D242D3">
          <w:rPr>
            <w:rStyle w:val="Hypertextovodkaz"/>
            <w:sz w:val="20"/>
            <w:szCs w:val="20"/>
          </w:rPr>
          <w:t>ZDE</w:t>
        </w:r>
      </w:hyperlink>
      <w:r w:rsidRPr="00D242D3">
        <w:rPr>
          <w:sz w:val="20"/>
          <w:szCs w:val="20"/>
        </w:rPr>
        <w:t xml:space="preserve">. V únoru předložili spotřebitelé zastoupení ANEC předběžné připomínky – více </w:t>
      </w:r>
      <w:hyperlink r:id="rId11" w:history="1">
        <w:r w:rsidRPr="00D242D3">
          <w:rPr>
            <w:rStyle w:val="Hypertextovodkaz"/>
            <w:sz w:val="20"/>
            <w:szCs w:val="20"/>
          </w:rPr>
          <w:t>ZDE</w:t>
        </w:r>
      </w:hyperlink>
      <w:r w:rsidRPr="00D242D3">
        <w:rPr>
          <w:rStyle w:val="Hypertextovodkaz"/>
          <w:sz w:val="20"/>
          <w:szCs w:val="20"/>
        </w:rPr>
        <w:t>.</w:t>
      </w:r>
    </w:p>
    <w:p w:rsidR="00D242D3" w:rsidRPr="00D242D3" w:rsidRDefault="00D242D3" w:rsidP="00D242D3">
      <w:pPr>
        <w:spacing w:after="120"/>
        <w:ind w:right="-286"/>
        <w:jc w:val="both"/>
        <w:rPr>
          <w:sz w:val="20"/>
          <w:szCs w:val="20"/>
        </w:rPr>
      </w:pPr>
      <w:r w:rsidRPr="00D242D3">
        <w:rPr>
          <w:sz w:val="20"/>
          <w:szCs w:val="20"/>
        </w:rPr>
        <w:t xml:space="preserve">SČS podporuje právní základ pro přístupnost výrobků a služeb, který by se opíral o normy, s ohledem na zkušenosti v oblasti bezpečnosti výrobků. Dále </w:t>
      </w:r>
      <w:proofErr w:type="spellStart"/>
      <w:r w:rsidRPr="00D242D3">
        <w:rPr>
          <w:sz w:val="20"/>
          <w:szCs w:val="20"/>
        </w:rPr>
        <w:t>zdůrazňujemel</w:t>
      </w:r>
      <w:proofErr w:type="spellEnd"/>
      <w:r w:rsidRPr="00D242D3">
        <w:rPr>
          <w:sz w:val="20"/>
          <w:szCs w:val="20"/>
        </w:rPr>
        <w:t xml:space="preserve"> význam účinného dohledu nad trhem a volným pohybem zboží. Spotřebitelé, jakož i orgány dozoru nad trhem by měly být informovány o nedostatku přístupnosti výrobku nebo služby pro všechny skupiny spotřebitelů. </w:t>
      </w:r>
    </w:p>
    <w:p w:rsidR="00D242D3" w:rsidRPr="00D242D3" w:rsidRDefault="00D242D3" w:rsidP="00D242D3">
      <w:pPr>
        <w:spacing w:after="120"/>
        <w:ind w:right="-286"/>
        <w:jc w:val="both"/>
        <w:rPr>
          <w:sz w:val="20"/>
          <w:szCs w:val="20"/>
        </w:rPr>
      </w:pPr>
      <w:r w:rsidRPr="00D242D3">
        <w:rPr>
          <w:sz w:val="20"/>
          <w:szCs w:val="20"/>
        </w:rPr>
        <w:t>ANEC proto doporučuje vyvinout značku s označením např. "žádný přístup" nebo "částečný přístup", která by informovala spotřebitele o omezené případně částečné dostupnosti. Tato značka by měla nahradit navrhované značení CE. Návrh bude nyní projednávat Evropský parlament a Rada.</w:t>
      </w:r>
    </w:p>
    <w:p w:rsidR="00D242D3" w:rsidRPr="00D242D3" w:rsidRDefault="00D242D3" w:rsidP="00D242D3">
      <w:pPr>
        <w:pStyle w:val="Odstavecseseznamem"/>
        <w:numPr>
          <w:ilvl w:val="0"/>
          <w:numId w:val="29"/>
        </w:numPr>
        <w:spacing w:after="120" w:line="259" w:lineRule="auto"/>
        <w:ind w:right="-286"/>
        <w:jc w:val="both"/>
        <w:rPr>
          <w:b/>
          <w:sz w:val="20"/>
          <w:szCs w:val="20"/>
        </w:rPr>
      </w:pPr>
      <w:r w:rsidRPr="00D242D3">
        <w:rPr>
          <w:b/>
          <w:sz w:val="20"/>
          <w:szCs w:val="20"/>
        </w:rPr>
        <w:t>Zranitelnost spotřebitele – studie Evropské komise</w:t>
      </w:r>
    </w:p>
    <w:p w:rsidR="00D242D3" w:rsidRPr="00D242D3" w:rsidRDefault="00D242D3" w:rsidP="00D242D3">
      <w:pPr>
        <w:spacing w:after="120"/>
        <w:ind w:right="-286"/>
        <w:jc w:val="both"/>
        <w:rPr>
          <w:sz w:val="20"/>
          <w:szCs w:val="20"/>
        </w:rPr>
      </w:pPr>
      <w:r w:rsidRPr="00D242D3">
        <w:rPr>
          <w:sz w:val="20"/>
          <w:szCs w:val="20"/>
        </w:rPr>
        <w:t xml:space="preserve">V únoru 2016 zveřejnila Evropská komise studii, „Zranitelnost spotřebitele napříč klíčovými trhy v EU" – </w:t>
      </w:r>
      <w:hyperlink r:id="rId12" w:history="1">
        <w:r w:rsidRPr="00D242D3">
          <w:rPr>
            <w:rStyle w:val="Hypertextovodkaz"/>
            <w:sz w:val="20"/>
            <w:szCs w:val="20"/>
          </w:rPr>
          <w:t>ZDE</w:t>
        </w:r>
      </w:hyperlink>
      <w:r w:rsidRPr="00D242D3">
        <w:rPr>
          <w:sz w:val="20"/>
          <w:szCs w:val="20"/>
        </w:rPr>
        <w:t xml:space="preserve">. Studie sleduje stanoviska a názory spotřebitelské skupiny, týkající se právě zranitelnosti spotřebitele. Cílem následně vzniklého pozičního dokumentu bylo lepší porozumění a povědomí o potřebách spotřebitele a následně vyvinout a rozvinout celistvý přístup v oblasti politiky Evropské komise. </w:t>
      </w:r>
    </w:p>
    <w:p w:rsidR="00D242D3" w:rsidRPr="00D242D3" w:rsidRDefault="00D242D3" w:rsidP="00D242D3">
      <w:pPr>
        <w:spacing w:after="120"/>
        <w:ind w:right="-286"/>
        <w:jc w:val="both"/>
        <w:rPr>
          <w:sz w:val="20"/>
          <w:szCs w:val="20"/>
        </w:rPr>
      </w:pPr>
      <w:r w:rsidRPr="00D242D3">
        <w:rPr>
          <w:sz w:val="20"/>
          <w:szCs w:val="20"/>
        </w:rPr>
        <w:t xml:space="preserve">Studie Evropské komise se zaměřuje na potíže, kterým musí čelit spotřebitelé, pokud chtějí získat férové informace. Identifikuje hlavní důvody, které stojí za zranitelností spotřebitele a nastiňuje spotřebitelům, jak lépe využívat svých práv a různé alternativy, které trh nabízí. </w:t>
      </w:r>
    </w:p>
    <w:p w:rsidR="00D242D3" w:rsidRPr="00D242D3" w:rsidRDefault="00D242D3" w:rsidP="00D242D3">
      <w:pPr>
        <w:spacing w:after="120"/>
        <w:ind w:right="-286"/>
        <w:jc w:val="both"/>
        <w:rPr>
          <w:sz w:val="20"/>
          <w:szCs w:val="20"/>
        </w:rPr>
      </w:pPr>
      <w:r w:rsidRPr="00D242D3">
        <w:rPr>
          <w:sz w:val="20"/>
          <w:szCs w:val="20"/>
        </w:rPr>
        <w:t xml:space="preserve">Evropská komisařka – paní Věra Jourová na svém vystoupení v únoru sdělila, že ještě pořád nejsou k dispozici spolehlivé informace na toto téma. A toto je právě ta mezera, která brání vhodnému politickému přístupu. V první řadě je potřebná vhodná definice zranitelnosti spotřebitele. </w:t>
      </w:r>
    </w:p>
    <w:p w:rsidR="00D242D3" w:rsidRPr="00D242D3" w:rsidRDefault="00D242D3" w:rsidP="00D242D3">
      <w:pPr>
        <w:spacing w:after="120"/>
        <w:ind w:right="-286"/>
        <w:jc w:val="both"/>
        <w:rPr>
          <w:sz w:val="20"/>
          <w:szCs w:val="20"/>
        </w:rPr>
      </w:pPr>
      <w:r w:rsidRPr="00D242D3">
        <w:rPr>
          <w:sz w:val="20"/>
          <w:szCs w:val="20"/>
        </w:rPr>
        <w:lastRenderedPageBreak/>
        <w:t xml:space="preserve">V právě v tomto směru působí SČS – vydáváním publikací i seminářů. Informujeme o nich výš, 01-f) (Národní konference o zranitelném spotřebiteli, publikace o autosedačkách – jak vybrat pro zdravé děti i pro </w:t>
      </w:r>
      <w:proofErr w:type="gramStart"/>
      <w:r w:rsidRPr="00D242D3">
        <w:rPr>
          <w:sz w:val="20"/>
          <w:szCs w:val="20"/>
        </w:rPr>
        <w:t>hendikepované... publikace</w:t>
      </w:r>
      <w:proofErr w:type="gramEnd"/>
      <w:r w:rsidRPr="00D242D3">
        <w:rPr>
          <w:sz w:val="20"/>
          <w:szCs w:val="20"/>
        </w:rPr>
        <w:t xml:space="preserve"> Zranitelný spotřebitel a normy).</w:t>
      </w:r>
    </w:p>
    <w:p w:rsidR="00D242D3" w:rsidRPr="00D242D3" w:rsidRDefault="00D242D3" w:rsidP="00D242D3">
      <w:pPr>
        <w:pStyle w:val="Odstavecseseznamem"/>
        <w:numPr>
          <w:ilvl w:val="0"/>
          <w:numId w:val="29"/>
        </w:numPr>
        <w:spacing w:after="120" w:line="259" w:lineRule="auto"/>
        <w:ind w:right="-286"/>
        <w:jc w:val="both"/>
        <w:rPr>
          <w:b/>
          <w:sz w:val="20"/>
          <w:szCs w:val="20"/>
        </w:rPr>
      </w:pPr>
      <w:r w:rsidRPr="00D242D3">
        <w:rPr>
          <w:b/>
          <w:sz w:val="20"/>
          <w:szCs w:val="20"/>
        </w:rPr>
        <w:t>ISO norma pro služby a zranitelné spotřebitele</w:t>
      </w:r>
    </w:p>
    <w:p w:rsidR="00D242D3" w:rsidRPr="00D242D3" w:rsidRDefault="00D242D3" w:rsidP="00D242D3">
      <w:pPr>
        <w:spacing w:after="120"/>
        <w:ind w:right="-286"/>
        <w:jc w:val="both"/>
        <w:rPr>
          <w:sz w:val="20"/>
          <w:szCs w:val="20"/>
        </w:rPr>
      </w:pPr>
      <w:r w:rsidRPr="00D242D3">
        <w:rPr>
          <w:sz w:val="20"/>
          <w:szCs w:val="20"/>
        </w:rPr>
        <w:t xml:space="preserve">Výbor ISO pro spotřebitelskou politiku (COPOLCO) provedl konzultaci k návrhu normy BS 18477:2010 ohledně služeb přístupných pro zranitelné spotřebitele. Vzhledem ke zvýšené složitosti a globalizace výrobků a služeb, někteří spotřebitelé mohou být ohroženi, případně znevýhodněni při výběru a použití výrobků a služeb. Vzhledem k absenci norem ISO v této oblasti, COPOLCO vnímá důležitost zvážení tohoto návrhu. </w:t>
      </w:r>
    </w:p>
    <w:p w:rsidR="00D242D3" w:rsidRPr="00D242D3" w:rsidRDefault="00D242D3" w:rsidP="00D242D3">
      <w:pPr>
        <w:spacing w:after="120"/>
        <w:ind w:right="-286"/>
        <w:jc w:val="both"/>
        <w:rPr>
          <w:sz w:val="20"/>
          <w:szCs w:val="20"/>
        </w:rPr>
      </w:pPr>
      <w:r w:rsidRPr="00D242D3">
        <w:rPr>
          <w:sz w:val="20"/>
          <w:szCs w:val="20"/>
        </w:rPr>
        <w:t>Spotřebitelé se prostřednictvím ANEC rovněž k návrhu vyjádřili a předložili své připomínky.</w:t>
      </w:r>
    </w:p>
    <w:p w:rsidR="00D242D3" w:rsidRPr="00D242D3" w:rsidRDefault="00D242D3" w:rsidP="00D242D3">
      <w:pPr>
        <w:pStyle w:val="Odstavecseseznamem"/>
        <w:spacing w:after="120"/>
        <w:ind w:left="0" w:right="-286"/>
        <w:jc w:val="both"/>
        <w:rPr>
          <w:b/>
          <w:sz w:val="20"/>
          <w:szCs w:val="20"/>
        </w:rPr>
      </w:pPr>
      <w:r w:rsidRPr="00D242D3">
        <w:rPr>
          <w:b/>
          <w:sz w:val="20"/>
          <w:szCs w:val="20"/>
        </w:rPr>
        <w:t>Konkrétní příklady ve vývoji v normalizaci „přístupnost k výrobkům a službám, konstrukce pro všechny“</w:t>
      </w:r>
    </w:p>
    <w:p w:rsidR="00D242D3" w:rsidRPr="00D242D3" w:rsidRDefault="00D242D3" w:rsidP="00D242D3">
      <w:pPr>
        <w:spacing w:after="120"/>
        <w:ind w:right="-286"/>
        <w:jc w:val="both"/>
        <w:rPr>
          <w:sz w:val="20"/>
          <w:szCs w:val="20"/>
        </w:rPr>
      </w:pPr>
      <w:r w:rsidRPr="00D242D3">
        <w:rPr>
          <w:sz w:val="20"/>
          <w:szCs w:val="20"/>
        </w:rPr>
        <w:t>Cílem mandátu EK (M/473), na jehož vývoji se spotřebitelé podíleli, je zahrnout prvky týkající se přístupnosti do evropských norem. Pracovní skupina vytvořená při CEN-CENELEC vyvinula návrh evropské normy (EN), která se zaměřuje na aspekty přístupnosti v oblasti designu, vývoje a výroby zboží a služeb.</w:t>
      </w:r>
    </w:p>
    <w:p w:rsidR="00D242D3" w:rsidRPr="00D242D3" w:rsidRDefault="00D242D3" w:rsidP="00D242D3">
      <w:pPr>
        <w:spacing w:after="120"/>
        <w:ind w:right="-286"/>
        <w:jc w:val="both"/>
        <w:rPr>
          <w:sz w:val="20"/>
          <w:szCs w:val="20"/>
        </w:rPr>
      </w:pPr>
      <w:r w:rsidRPr="00D242D3">
        <w:rPr>
          <w:sz w:val="20"/>
          <w:szCs w:val="20"/>
        </w:rPr>
        <w:t>V únoru 2016 bylo na pracovní úrovni dohodnuto vytvoření technické specifikace ‚</w:t>
      </w:r>
      <w:proofErr w:type="spellStart"/>
      <w:r w:rsidRPr="00D242D3">
        <w:rPr>
          <w:sz w:val="20"/>
          <w:szCs w:val="20"/>
        </w:rPr>
        <w:t>Accessibility</w:t>
      </w:r>
      <w:proofErr w:type="spellEnd"/>
      <w:r w:rsidRPr="00D242D3">
        <w:rPr>
          <w:sz w:val="20"/>
          <w:szCs w:val="20"/>
        </w:rPr>
        <w:t xml:space="preserve"> </w:t>
      </w:r>
      <w:proofErr w:type="spellStart"/>
      <w:r w:rsidRPr="00D242D3">
        <w:rPr>
          <w:sz w:val="20"/>
          <w:szCs w:val="20"/>
        </w:rPr>
        <w:t>following</w:t>
      </w:r>
      <w:proofErr w:type="spellEnd"/>
      <w:r w:rsidRPr="00D242D3">
        <w:rPr>
          <w:sz w:val="20"/>
          <w:szCs w:val="20"/>
        </w:rPr>
        <w:t xml:space="preserve"> a Design </w:t>
      </w:r>
      <w:proofErr w:type="spellStart"/>
      <w:r w:rsidRPr="00D242D3">
        <w:rPr>
          <w:sz w:val="20"/>
          <w:szCs w:val="20"/>
        </w:rPr>
        <w:t>for</w:t>
      </w:r>
      <w:proofErr w:type="spellEnd"/>
      <w:r w:rsidRPr="00D242D3">
        <w:rPr>
          <w:sz w:val="20"/>
          <w:szCs w:val="20"/>
        </w:rPr>
        <w:t xml:space="preserve"> </w:t>
      </w:r>
      <w:proofErr w:type="spellStart"/>
      <w:r w:rsidRPr="00D242D3">
        <w:rPr>
          <w:sz w:val="20"/>
          <w:szCs w:val="20"/>
        </w:rPr>
        <w:t>All</w:t>
      </w:r>
      <w:proofErr w:type="spellEnd"/>
      <w:r w:rsidRPr="00D242D3">
        <w:rPr>
          <w:sz w:val="20"/>
          <w:szCs w:val="20"/>
        </w:rPr>
        <w:t xml:space="preserve"> </w:t>
      </w:r>
      <w:proofErr w:type="spellStart"/>
      <w:r w:rsidRPr="00D242D3">
        <w:rPr>
          <w:sz w:val="20"/>
          <w:szCs w:val="20"/>
        </w:rPr>
        <w:t>approach</w:t>
      </w:r>
      <w:proofErr w:type="spellEnd"/>
      <w:r w:rsidRPr="00D242D3">
        <w:rPr>
          <w:sz w:val="20"/>
          <w:szCs w:val="20"/>
        </w:rPr>
        <w:t xml:space="preserve"> in </w:t>
      </w:r>
      <w:proofErr w:type="spellStart"/>
      <w:r w:rsidRPr="00D242D3">
        <w:rPr>
          <w:sz w:val="20"/>
          <w:szCs w:val="20"/>
        </w:rPr>
        <w:t>products</w:t>
      </w:r>
      <w:proofErr w:type="spellEnd"/>
      <w:r w:rsidRPr="00D242D3">
        <w:rPr>
          <w:sz w:val="20"/>
          <w:szCs w:val="20"/>
        </w:rPr>
        <w:t xml:space="preserve">, </w:t>
      </w:r>
      <w:proofErr w:type="spellStart"/>
      <w:r w:rsidRPr="00D242D3">
        <w:rPr>
          <w:sz w:val="20"/>
          <w:szCs w:val="20"/>
        </w:rPr>
        <w:t>goods</w:t>
      </w:r>
      <w:proofErr w:type="spellEnd"/>
      <w:r w:rsidRPr="00D242D3">
        <w:rPr>
          <w:sz w:val="20"/>
          <w:szCs w:val="20"/>
        </w:rPr>
        <w:t xml:space="preserve"> and </w:t>
      </w:r>
      <w:proofErr w:type="spellStart"/>
      <w:r w:rsidRPr="00D242D3">
        <w:rPr>
          <w:sz w:val="20"/>
          <w:szCs w:val="20"/>
        </w:rPr>
        <w:t>services</w:t>
      </w:r>
      <w:proofErr w:type="spellEnd"/>
      <w:r w:rsidRPr="00D242D3">
        <w:rPr>
          <w:sz w:val="20"/>
          <w:szCs w:val="20"/>
        </w:rPr>
        <w:t xml:space="preserve">’, a to navzdory tomu, že původně bylo v CEN/BT rozhodnuto podpořit vydání evropské normy. Spotřebitelé litují, že byla změněna původní koncepce a rozhodnutí o stupni normalizace. </w:t>
      </w:r>
    </w:p>
    <w:p w:rsidR="00D242D3" w:rsidRPr="00D242D3" w:rsidRDefault="00D242D3" w:rsidP="00D242D3">
      <w:pPr>
        <w:spacing w:after="120"/>
        <w:ind w:right="-286"/>
        <w:jc w:val="both"/>
        <w:rPr>
          <w:sz w:val="20"/>
          <w:szCs w:val="20"/>
        </w:rPr>
      </w:pPr>
      <w:r w:rsidRPr="00D242D3">
        <w:rPr>
          <w:sz w:val="20"/>
          <w:szCs w:val="20"/>
        </w:rPr>
        <w:t>Nyní se Evropská komise rozhoduje, jak bude provedení mandátu M/473 pokračovat.</w:t>
      </w:r>
    </w:p>
    <w:p w:rsidR="00D242D3" w:rsidRPr="00D242D3" w:rsidRDefault="00D242D3" w:rsidP="00D242D3">
      <w:pPr>
        <w:pStyle w:val="Odstavecseseznamem"/>
        <w:numPr>
          <w:ilvl w:val="0"/>
          <w:numId w:val="29"/>
        </w:numPr>
        <w:spacing w:after="120" w:line="259" w:lineRule="auto"/>
        <w:ind w:right="-286"/>
        <w:jc w:val="both"/>
        <w:rPr>
          <w:b/>
          <w:sz w:val="20"/>
          <w:szCs w:val="20"/>
        </w:rPr>
      </w:pPr>
      <w:r w:rsidRPr="00D242D3">
        <w:rPr>
          <w:b/>
          <w:sz w:val="20"/>
          <w:szCs w:val="20"/>
        </w:rPr>
        <w:t xml:space="preserve">Národní konference na téma významu technických norem pro zvláště zranitelné spotřebitele </w:t>
      </w:r>
    </w:p>
    <w:p w:rsidR="00D242D3" w:rsidRPr="00D242D3" w:rsidRDefault="00D242D3" w:rsidP="00D242D3">
      <w:pPr>
        <w:spacing w:after="120"/>
        <w:ind w:right="-286"/>
        <w:jc w:val="both"/>
        <w:rPr>
          <w:sz w:val="20"/>
          <w:szCs w:val="20"/>
        </w:rPr>
      </w:pPr>
      <w:r w:rsidRPr="00D242D3">
        <w:rPr>
          <w:sz w:val="20"/>
          <w:szCs w:val="20"/>
        </w:rPr>
        <w:t xml:space="preserve">Realizace této aktivity proběhla v prvním pololetí 2016, tedy ve druhém monitorovacím období. Akce byla provedena jako národní konference, konala se dne </w:t>
      </w:r>
      <w:r w:rsidRPr="00D242D3">
        <w:rPr>
          <w:bCs/>
          <w:sz w:val="20"/>
          <w:szCs w:val="20"/>
        </w:rPr>
        <w:t>5. května 2016 s</w:t>
      </w:r>
      <w:r w:rsidRPr="00D242D3">
        <w:rPr>
          <w:sz w:val="20"/>
          <w:szCs w:val="20"/>
        </w:rPr>
        <w:t xml:space="preserve"> následnou tiskovou konferencí, v konferenčním sále v</w:t>
      </w:r>
      <w:r w:rsidRPr="00D242D3">
        <w:rPr>
          <w:bCs/>
          <w:sz w:val="20"/>
          <w:szCs w:val="20"/>
        </w:rPr>
        <w:t xml:space="preserve"> Hospodářské komoře hl. m. Prahy.</w:t>
      </w:r>
      <w:r w:rsidRPr="00D242D3">
        <w:rPr>
          <w:sz w:val="20"/>
          <w:szCs w:val="20"/>
        </w:rPr>
        <w:t xml:space="preserve"> Informace postupně byly vystavovány </w:t>
      </w:r>
      <w:hyperlink r:id="rId13" w:history="1">
        <w:r w:rsidRPr="00D242D3">
          <w:rPr>
            <w:rStyle w:val="Hypertextovodkaz"/>
            <w:sz w:val="20"/>
            <w:szCs w:val="20"/>
          </w:rPr>
          <w:t>ZDE</w:t>
        </w:r>
      </w:hyperlink>
      <w:r w:rsidRPr="00D242D3">
        <w:rPr>
          <w:sz w:val="20"/>
          <w:szCs w:val="20"/>
        </w:rPr>
        <w:t xml:space="preserve">. </w:t>
      </w:r>
    </w:p>
    <w:p w:rsidR="00D242D3" w:rsidRPr="00D242D3" w:rsidRDefault="00D242D3" w:rsidP="00D242D3">
      <w:pPr>
        <w:pStyle w:val="Odstavecseseznamem"/>
        <w:numPr>
          <w:ilvl w:val="0"/>
          <w:numId w:val="29"/>
        </w:numPr>
        <w:spacing w:after="120" w:line="259" w:lineRule="auto"/>
        <w:ind w:right="-286"/>
        <w:jc w:val="both"/>
        <w:rPr>
          <w:b/>
          <w:sz w:val="20"/>
          <w:szCs w:val="20"/>
        </w:rPr>
      </w:pPr>
      <w:r w:rsidRPr="00D242D3">
        <w:rPr>
          <w:b/>
          <w:sz w:val="20"/>
          <w:szCs w:val="20"/>
        </w:rPr>
        <w:t>Vydání tiskoviny na téma zranitelného spotřebitele ve vztahu k využití technických norem</w:t>
      </w:r>
    </w:p>
    <w:p w:rsidR="00D242D3" w:rsidRPr="00D242D3" w:rsidRDefault="00D242D3" w:rsidP="00D242D3">
      <w:pPr>
        <w:spacing w:after="120"/>
        <w:ind w:right="-286"/>
        <w:jc w:val="both"/>
        <w:rPr>
          <w:sz w:val="20"/>
          <w:szCs w:val="20"/>
        </w:rPr>
      </w:pPr>
      <w:r w:rsidRPr="00D242D3">
        <w:rPr>
          <w:sz w:val="20"/>
          <w:szCs w:val="20"/>
        </w:rPr>
        <w:t>Tato aktivita byla realizována v první polovině roku 2016. Tématem byl </w:t>
      </w:r>
      <w:r w:rsidRPr="00D242D3">
        <w:rPr>
          <w:b/>
          <w:bCs/>
          <w:sz w:val="20"/>
          <w:szCs w:val="20"/>
        </w:rPr>
        <w:t>vztah technické normy a zvláště zranitelného spotřebitele</w:t>
      </w:r>
      <w:r w:rsidRPr="00D242D3">
        <w:rPr>
          <w:sz w:val="20"/>
          <w:szCs w:val="20"/>
        </w:rPr>
        <w:t xml:space="preserve">. </w:t>
      </w:r>
    </w:p>
    <w:p w:rsidR="00D242D3" w:rsidRPr="00D242D3" w:rsidRDefault="00D242D3" w:rsidP="00D242D3">
      <w:pPr>
        <w:spacing w:after="120"/>
        <w:ind w:right="-286"/>
        <w:jc w:val="both"/>
        <w:rPr>
          <w:sz w:val="20"/>
          <w:szCs w:val="20"/>
        </w:rPr>
      </w:pPr>
      <w:r w:rsidRPr="00D242D3">
        <w:rPr>
          <w:sz w:val="20"/>
          <w:szCs w:val="20"/>
        </w:rPr>
        <w:t xml:space="preserve">Název: PŘÍSTUPNOST VÝROBKŮ A SLUŽEB PRO ZVLÁŠŤ ZRANITELNÉ SPOTŘEBITELE (OBSAH A FUNKCE TECHNICKÝCH NOREM); publikace podtrhuje význam technických norem pro zvláště zranitelné spotřebitele, zejména ve vztahu k seniorům a zdravotně postiženým osobám – uvádí principy a konkrétní příklady. </w:t>
      </w:r>
    </w:p>
    <w:p w:rsidR="00D242D3" w:rsidRPr="00D242D3" w:rsidRDefault="00D242D3" w:rsidP="00D242D3">
      <w:pPr>
        <w:spacing w:after="120"/>
        <w:ind w:right="-286"/>
        <w:jc w:val="both"/>
        <w:rPr>
          <w:sz w:val="20"/>
          <w:szCs w:val="20"/>
        </w:rPr>
      </w:pPr>
      <w:r w:rsidRPr="00D242D3">
        <w:rPr>
          <w:sz w:val="20"/>
          <w:szCs w:val="20"/>
        </w:rPr>
        <w:t>Náklad činil 3 tis. ks a byla distribuována při příležitost národní konference, organizované s podobným záměrem (viz aktivita 2b). Způsob další distribuce: regionální místa SČS, partnerské organizace, centra pro technickou normalizaci, informační centrum Úřadu pro technickou normalizaci ad.</w:t>
      </w:r>
    </w:p>
    <w:p w:rsidR="00D242D3" w:rsidRPr="00D242D3" w:rsidRDefault="00D242D3" w:rsidP="00D242D3">
      <w:pPr>
        <w:spacing w:after="120"/>
        <w:ind w:right="-286"/>
        <w:jc w:val="both"/>
        <w:rPr>
          <w:rFonts w:ascii="Tahoma" w:hAnsi="Tahoma" w:cs="Tahoma"/>
          <w:color w:val="000000"/>
          <w:sz w:val="20"/>
          <w:szCs w:val="20"/>
          <w:shd w:val="clear" w:color="auto" w:fill="FFFFFF"/>
        </w:rPr>
      </w:pPr>
      <w:r w:rsidRPr="00D242D3">
        <w:rPr>
          <w:sz w:val="20"/>
          <w:szCs w:val="20"/>
        </w:rPr>
        <w:t>Publikace je vystavena</w:t>
      </w:r>
      <w:r w:rsidRPr="00D242D3">
        <w:rPr>
          <w:rStyle w:val="apple-converted-space"/>
          <w:color w:val="000000"/>
          <w:sz w:val="20"/>
          <w:szCs w:val="20"/>
          <w:shd w:val="clear" w:color="auto" w:fill="FFFFFF"/>
        </w:rPr>
        <w:t> </w:t>
      </w:r>
      <w:hyperlink r:id="rId14" w:tooltip="http://www.konzument.cz/users/publications/10-top-normy/197-pristupnost-vyrobku-a-sluzeb-pro-zvlast-zranitelne-spotrebitele-obsah-a-funkce-technickych-norem.pdf" w:history="1">
        <w:r w:rsidRPr="00D242D3">
          <w:rPr>
            <w:rStyle w:val="Hypertextovodkaz"/>
            <w:rFonts w:ascii="Tahoma" w:hAnsi="Tahoma" w:cs="Tahoma"/>
            <w:sz w:val="20"/>
            <w:szCs w:val="20"/>
            <w:shd w:val="clear" w:color="auto" w:fill="FFFFFF"/>
          </w:rPr>
          <w:t>Zde</w:t>
        </w:r>
      </w:hyperlink>
      <w:r w:rsidRPr="00D242D3">
        <w:rPr>
          <w:sz w:val="20"/>
          <w:szCs w:val="20"/>
        </w:rPr>
        <w:t xml:space="preserve">. </w:t>
      </w:r>
      <w:r w:rsidRPr="00D242D3">
        <w:rPr>
          <w:rFonts w:ascii="Cambria" w:hAnsi="Cambria" w:cs="Arial"/>
          <w:sz w:val="20"/>
          <w:szCs w:val="20"/>
        </w:rPr>
        <w:t xml:space="preserve">Tisková zpráva k vydání publikace je vystavena </w:t>
      </w:r>
      <w:hyperlink r:id="rId15" w:anchor="detail" w:history="1">
        <w:r w:rsidRPr="00D242D3">
          <w:rPr>
            <w:rStyle w:val="Hypertextovodkaz"/>
            <w:rFonts w:ascii="Cambria" w:hAnsi="Cambria" w:cs="Arial"/>
            <w:sz w:val="20"/>
            <w:szCs w:val="20"/>
          </w:rPr>
          <w:t>Zde</w:t>
        </w:r>
      </w:hyperlink>
      <w:r w:rsidRPr="00D242D3">
        <w:rPr>
          <w:rFonts w:ascii="Cambria" w:hAnsi="Cambria" w:cs="Arial"/>
          <w:sz w:val="20"/>
          <w:szCs w:val="20"/>
        </w:rPr>
        <w:t>.</w:t>
      </w:r>
    </w:p>
    <w:p w:rsidR="00D242D3" w:rsidRPr="00D242D3" w:rsidRDefault="00D242D3" w:rsidP="00D242D3">
      <w:pPr>
        <w:pStyle w:val="Odstavecseseznamem"/>
        <w:numPr>
          <w:ilvl w:val="0"/>
          <w:numId w:val="29"/>
        </w:numPr>
        <w:spacing w:after="120" w:line="259" w:lineRule="auto"/>
        <w:ind w:right="-286"/>
        <w:jc w:val="both"/>
        <w:rPr>
          <w:b/>
          <w:sz w:val="20"/>
          <w:szCs w:val="20"/>
        </w:rPr>
      </w:pPr>
      <w:r w:rsidRPr="00D242D3">
        <w:rPr>
          <w:b/>
          <w:sz w:val="20"/>
          <w:szCs w:val="20"/>
        </w:rPr>
        <w:t>Vydání tiskoviny na téma vztahu a významu norem k ochraně bezpečnosti dětí</w:t>
      </w:r>
    </w:p>
    <w:p w:rsidR="00D242D3" w:rsidRPr="00D242D3" w:rsidRDefault="00D242D3" w:rsidP="00D242D3">
      <w:pPr>
        <w:spacing w:after="120"/>
        <w:ind w:right="-286"/>
        <w:jc w:val="both"/>
        <w:rPr>
          <w:rFonts w:ascii="Cambria" w:hAnsi="Cambria" w:cs="Arial"/>
          <w:sz w:val="20"/>
          <w:szCs w:val="20"/>
        </w:rPr>
      </w:pPr>
      <w:r w:rsidRPr="00D242D3">
        <w:rPr>
          <w:sz w:val="20"/>
          <w:szCs w:val="20"/>
        </w:rPr>
        <w:t xml:space="preserve">Tato aktivita byla realizována v první polovině roku 2016. Tématem bylo </w:t>
      </w:r>
      <w:r w:rsidRPr="00D242D3">
        <w:rPr>
          <w:rFonts w:ascii="Cambria" w:hAnsi="Cambria" w:cs="Arial"/>
          <w:sz w:val="20"/>
          <w:szCs w:val="20"/>
        </w:rPr>
        <w:t xml:space="preserve">podtržení významu technických norem pro zvláště zranitelné spotřebitele, zejména ve vztahu k dětem a mládeži. </w:t>
      </w:r>
    </w:p>
    <w:p w:rsidR="00D242D3" w:rsidRPr="00D242D3" w:rsidRDefault="00D242D3" w:rsidP="00D242D3">
      <w:pPr>
        <w:spacing w:after="120"/>
        <w:ind w:right="-286"/>
        <w:jc w:val="both"/>
        <w:rPr>
          <w:rFonts w:ascii="Cambria" w:hAnsi="Cambria" w:cs="Arial"/>
          <w:sz w:val="20"/>
          <w:szCs w:val="20"/>
        </w:rPr>
      </w:pPr>
      <w:r w:rsidRPr="00D242D3">
        <w:rPr>
          <w:rFonts w:ascii="Cambria" w:hAnsi="Cambria" w:cs="Arial"/>
          <w:sz w:val="20"/>
          <w:szCs w:val="20"/>
        </w:rPr>
        <w:t>Bylo zvoleno konkrétní téma dětských autosedaček a na tomto příkladu byl zviditelněn i běžnému spotřebiteli význam a přístupy k řešení specifických problémů u výrobků a služeb.</w:t>
      </w:r>
    </w:p>
    <w:p w:rsidR="00D242D3" w:rsidRPr="00D242D3" w:rsidRDefault="00D242D3" w:rsidP="00D242D3">
      <w:pPr>
        <w:spacing w:after="120"/>
        <w:ind w:right="-286"/>
        <w:jc w:val="both"/>
        <w:rPr>
          <w:rFonts w:ascii="Cambria" w:hAnsi="Cambria" w:cs="Arial"/>
          <w:sz w:val="20"/>
          <w:szCs w:val="20"/>
        </w:rPr>
      </w:pPr>
      <w:r w:rsidRPr="00D242D3">
        <w:rPr>
          <w:rFonts w:ascii="Cambria" w:hAnsi="Cambria" w:cs="Arial"/>
          <w:sz w:val="20"/>
          <w:szCs w:val="20"/>
        </w:rPr>
        <w:t>Název PRO BEZPEČNOST DĚTÍ V AUTOMOBILECH: ZÁDRŽNÉ</w:t>
      </w:r>
      <w:r w:rsidRPr="00D242D3" w:rsidDel="00DA7F3E">
        <w:rPr>
          <w:rFonts w:ascii="Cambria" w:hAnsi="Cambria" w:cs="Arial"/>
          <w:sz w:val="20"/>
          <w:szCs w:val="20"/>
        </w:rPr>
        <w:t xml:space="preserve"> </w:t>
      </w:r>
      <w:r w:rsidRPr="00D242D3">
        <w:rPr>
          <w:rFonts w:ascii="Cambria" w:hAnsi="Cambria" w:cs="Arial"/>
          <w:sz w:val="20"/>
          <w:szCs w:val="20"/>
        </w:rPr>
        <w:t>SYSTÉMY.</w:t>
      </w:r>
    </w:p>
    <w:p w:rsidR="00D242D3" w:rsidRPr="00D242D3" w:rsidRDefault="00D242D3" w:rsidP="00D242D3">
      <w:pPr>
        <w:spacing w:after="120"/>
        <w:ind w:right="-286"/>
        <w:jc w:val="both"/>
        <w:rPr>
          <w:rFonts w:ascii="Cambria" w:hAnsi="Cambria" w:cs="Arial"/>
          <w:sz w:val="20"/>
          <w:szCs w:val="20"/>
        </w:rPr>
      </w:pPr>
      <w:r w:rsidRPr="00D242D3">
        <w:rPr>
          <w:rFonts w:ascii="Cambria" w:hAnsi="Cambria" w:cs="Arial"/>
          <w:sz w:val="20"/>
          <w:szCs w:val="20"/>
        </w:rPr>
        <w:t>Náklad: 3 tis. ks, postupně se realizuje distribuce přes regionální místa SČS, partnerské organizace, centra pro technickou normalizaci, informační centrum Úřadu pro technickou normalizaci.</w:t>
      </w:r>
    </w:p>
    <w:p w:rsidR="00D242D3" w:rsidRPr="00D242D3" w:rsidRDefault="00D242D3" w:rsidP="00D242D3">
      <w:pPr>
        <w:spacing w:after="120"/>
        <w:ind w:right="-286"/>
        <w:jc w:val="both"/>
        <w:rPr>
          <w:rFonts w:ascii="Cambria" w:hAnsi="Cambria" w:cs="Arial"/>
          <w:sz w:val="20"/>
          <w:szCs w:val="20"/>
        </w:rPr>
      </w:pPr>
      <w:r w:rsidRPr="00D242D3">
        <w:rPr>
          <w:sz w:val="20"/>
          <w:szCs w:val="20"/>
        </w:rPr>
        <w:t>Publikace je vystavena</w:t>
      </w:r>
      <w:r w:rsidRPr="00D242D3">
        <w:rPr>
          <w:rStyle w:val="apple-converted-space"/>
          <w:color w:val="000000"/>
          <w:sz w:val="20"/>
          <w:szCs w:val="20"/>
          <w:shd w:val="clear" w:color="auto" w:fill="FFFFFF"/>
        </w:rPr>
        <w:t> </w:t>
      </w:r>
      <w:hyperlink r:id="rId16" w:history="1">
        <w:r w:rsidRPr="00D242D3">
          <w:rPr>
            <w:rStyle w:val="Hypertextovodkaz"/>
            <w:rFonts w:ascii="Cambria" w:hAnsi="Cambria" w:cs="Arial"/>
            <w:sz w:val="20"/>
            <w:szCs w:val="20"/>
          </w:rPr>
          <w:t>Zde</w:t>
        </w:r>
      </w:hyperlink>
      <w:r w:rsidRPr="00D242D3">
        <w:rPr>
          <w:sz w:val="20"/>
          <w:szCs w:val="20"/>
        </w:rPr>
        <w:t xml:space="preserve">. </w:t>
      </w:r>
      <w:r w:rsidRPr="00D242D3">
        <w:rPr>
          <w:rFonts w:ascii="Cambria" w:hAnsi="Cambria" w:cs="Arial"/>
          <w:sz w:val="20"/>
          <w:szCs w:val="20"/>
        </w:rPr>
        <w:t xml:space="preserve">Tisková zpráva k vydání publikace je vystavena </w:t>
      </w:r>
      <w:hyperlink r:id="rId17" w:anchor="detail" w:history="1">
        <w:r w:rsidRPr="00D242D3">
          <w:rPr>
            <w:rStyle w:val="Hypertextovodkaz"/>
            <w:rFonts w:ascii="Cambria" w:hAnsi="Cambria" w:cs="Arial"/>
            <w:sz w:val="20"/>
            <w:szCs w:val="20"/>
          </w:rPr>
          <w:t>Zde</w:t>
        </w:r>
      </w:hyperlink>
      <w:r w:rsidRPr="00D242D3">
        <w:rPr>
          <w:rFonts w:ascii="Cambria" w:hAnsi="Cambria" w:cs="Arial"/>
          <w:sz w:val="20"/>
          <w:szCs w:val="20"/>
        </w:rPr>
        <w:t>.</w:t>
      </w:r>
    </w:p>
    <w:p w:rsidR="00D242D3" w:rsidRDefault="00D242D3" w:rsidP="00D242D3">
      <w:pPr>
        <w:spacing w:after="120"/>
        <w:jc w:val="both"/>
        <w:rPr>
          <w:b/>
          <w:sz w:val="20"/>
          <w:szCs w:val="20"/>
        </w:rPr>
      </w:pPr>
    </w:p>
    <w:p w:rsidR="00C62AAE" w:rsidRPr="00D242D3" w:rsidRDefault="00D242D3" w:rsidP="00D242D3">
      <w:pPr>
        <w:pStyle w:val="Odstavecseseznamem"/>
        <w:spacing w:after="120"/>
        <w:ind w:left="0"/>
        <w:jc w:val="both"/>
        <w:rPr>
          <w:sz w:val="20"/>
          <w:szCs w:val="20"/>
        </w:rPr>
      </w:pPr>
      <w:r>
        <w:rPr>
          <w:sz w:val="20"/>
          <w:szCs w:val="20"/>
        </w:rPr>
        <w:t>Červen</w:t>
      </w:r>
      <w:r w:rsidR="008D516D" w:rsidRPr="00D242D3">
        <w:rPr>
          <w:sz w:val="20"/>
          <w:szCs w:val="20"/>
        </w:rPr>
        <w:t xml:space="preserve"> 201</w:t>
      </w:r>
      <w:r>
        <w:rPr>
          <w:sz w:val="20"/>
          <w:szCs w:val="20"/>
        </w:rPr>
        <w:t>6</w:t>
      </w:r>
      <w:r w:rsidR="008D516D" w:rsidRPr="00D242D3">
        <w:rPr>
          <w:sz w:val="20"/>
          <w:szCs w:val="20"/>
        </w:rPr>
        <w:t>, Dupal</w:t>
      </w:r>
      <w:r w:rsidR="00BB07A6" w:rsidRPr="00D242D3">
        <w:rPr>
          <w:sz w:val="20"/>
          <w:szCs w:val="20"/>
        </w:rPr>
        <w:tab/>
      </w:r>
    </w:p>
    <w:sectPr w:rsidR="00C62AAE" w:rsidRPr="00D242D3" w:rsidSect="00CA4A78">
      <w:headerReference w:type="even" r:id="rId18"/>
      <w:headerReference w:type="default" r:id="rId19"/>
      <w:footerReference w:type="even" r:id="rId20"/>
      <w:footerReference w:type="default" r:id="rId21"/>
      <w:headerReference w:type="first" r:id="rId22"/>
      <w:footerReference w:type="first" r:id="rId2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FF" w:rsidRDefault="00DA06FF">
      <w:r>
        <w:separator/>
      </w:r>
    </w:p>
  </w:endnote>
  <w:endnote w:type="continuationSeparator" w:id="0">
    <w:p w:rsidR="00DA06FF" w:rsidRDefault="00DA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DE" w:rsidRDefault="00D211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211DE" w:rsidRDefault="00D211D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DE" w:rsidRDefault="00D211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24A54">
      <w:rPr>
        <w:rStyle w:val="slostrnky"/>
        <w:noProof/>
      </w:rPr>
      <w:t>1</w:t>
    </w:r>
    <w:r>
      <w:rPr>
        <w:rStyle w:val="slostrnky"/>
      </w:rPr>
      <w:fldChar w:fldCharType="end"/>
    </w: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2050"/>
      <w:gridCol w:w="3123"/>
      <w:gridCol w:w="3420"/>
      <w:gridCol w:w="1116"/>
    </w:tblGrid>
    <w:tr w:rsidR="00D211DE" w:rsidTr="004C7619">
      <w:trPr>
        <w:trHeight w:val="416"/>
      </w:trPr>
      <w:tc>
        <w:tcPr>
          <w:tcW w:w="2050" w:type="dxa"/>
        </w:tcPr>
        <w:p w:rsidR="00D211DE" w:rsidRDefault="00D211DE" w:rsidP="004C7619">
          <w:pPr>
            <w:spacing w:line="276" w:lineRule="auto"/>
            <w:rPr>
              <w:sz w:val="6"/>
            </w:rPr>
          </w:pPr>
        </w:p>
        <w:p w:rsidR="00D211DE" w:rsidRDefault="00BB07A6" w:rsidP="004C7619">
          <w:pPr>
            <w:spacing w:line="276" w:lineRule="auto"/>
          </w:pPr>
          <w:r>
            <w:rPr>
              <w:bCs/>
              <w:color w:val="7F7F7F" w:themeColor="text1" w:themeTint="80"/>
              <w:spacing w:val="10"/>
              <w:sz w:val="18"/>
              <w:szCs w:val="16"/>
            </w:rPr>
            <w:t>Pod Altánem 99/103, 100 00</w:t>
          </w:r>
          <w:r w:rsidRPr="00B36373">
            <w:rPr>
              <w:bCs/>
              <w:color w:val="7F7F7F" w:themeColor="text1" w:themeTint="80"/>
              <w:spacing w:val="10"/>
              <w:sz w:val="18"/>
              <w:szCs w:val="16"/>
            </w:rPr>
            <w:t xml:space="preserve"> Praha 10</w:t>
          </w:r>
        </w:p>
      </w:tc>
      <w:tc>
        <w:tcPr>
          <w:tcW w:w="3123" w:type="dxa"/>
        </w:tcPr>
        <w:p w:rsidR="00D211DE" w:rsidRDefault="00D211DE">
          <w:pPr>
            <w:jc w:val="right"/>
            <w:rPr>
              <w:sz w:val="18"/>
            </w:rPr>
          </w:pPr>
        </w:p>
      </w:tc>
      <w:tc>
        <w:tcPr>
          <w:tcW w:w="3420" w:type="dxa"/>
        </w:tcPr>
        <w:p w:rsidR="00D211DE" w:rsidRPr="00BB07A6" w:rsidRDefault="00D211DE">
          <w:pPr>
            <w:jc w:val="right"/>
            <w:rPr>
              <w:bCs/>
              <w:color w:val="7F7F7F" w:themeColor="text1" w:themeTint="80"/>
              <w:spacing w:val="10"/>
              <w:sz w:val="16"/>
              <w:szCs w:val="16"/>
            </w:rPr>
          </w:pPr>
          <w:r w:rsidRPr="00BB07A6">
            <w:rPr>
              <w:bCs/>
              <w:color w:val="7F7F7F" w:themeColor="text1" w:themeTint="80"/>
              <w:spacing w:val="10"/>
              <w:sz w:val="16"/>
              <w:szCs w:val="16"/>
            </w:rPr>
            <w:t>tel.: +420 261263574</w:t>
          </w:r>
        </w:p>
        <w:p w:rsidR="00D211DE" w:rsidRPr="00BB07A6" w:rsidRDefault="00D211DE">
          <w:pPr>
            <w:jc w:val="right"/>
            <w:rPr>
              <w:bCs/>
              <w:color w:val="7F7F7F" w:themeColor="text1" w:themeTint="80"/>
              <w:spacing w:val="10"/>
              <w:sz w:val="16"/>
              <w:szCs w:val="16"/>
            </w:rPr>
          </w:pPr>
          <w:r w:rsidRPr="00BB07A6">
            <w:rPr>
              <w:bCs/>
              <w:color w:val="7F7F7F" w:themeColor="text1" w:themeTint="80"/>
              <w:spacing w:val="10"/>
              <w:sz w:val="16"/>
              <w:szCs w:val="16"/>
            </w:rPr>
            <w:t xml:space="preserve">e-mail: </w:t>
          </w:r>
          <w:hyperlink r:id="rId1" w:history="1">
            <w:r w:rsidRPr="00BB07A6">
              <w:rPr>
                <w:bCs/>
                <w:color w:val="7F7F7F" w:themeColor="text1" w:themeTint="80"/>
                <w:spacing w:val="10"/>
                <w:sz w:val="16"/>
                <w:szCs w:val="16"/>
              </w:rPr>
              <w:t>normy@regio.cz</w:t>
            </w:r>
          </w:hyperlink>
          <w:r w:rsidRPr="00BB07A6">
            <w:rPr>
              <w:bCs/>
              <w:color w:val="7F7F7F" w:themeColor="text1" w:themeTint="80"/>
              <w:spacing w:val="10"/>
              <w:sz w:val="16"/>
              <w:szCs w:val="16"/>
            </w:rPr>
            <w:t xml:space="preserve">; </w:t>
          </w:r>
          <w:hyperlink r:id="rId2" w:history="1">
            <w:r w:rsidRPr="00BB07A6">
              <w:rPr>
                <w:bCs/>
                <w:color w:val="7F7F7F" w:themeColor="text1" w:themeTint="80"/>
                <w:spacing w:val="10"/>
                <w:sz w:val="16"/>
                <w:szCs w:val="16"/>
              </w:rPr>
              <w:t>spotřebitel@regio.cz</w:t>
            </w:r>
          </w:hyperlink>
          <w:r w:rsidRPr="00BB07A6">
            <w:rPr>
              <w:bCs/>
              <w:color w:val="7F7F7F" w:themeColor="text1" w:themeTint="80"/>
              <w:spacing w:val="10"/>
              <w:sz w:val="16"/>
              <w:szCs w:val="16"/>
            </w:rPr>
            <w:t xml:space="preserve">    </w:t>
          </w:r>
        </w:p>
        <w:p w:rsidR="00D211DE" w:rsidRPr="00BB07A6" w:rsidRDefault="00DA06FF" w:rsidP="004C7619">
          <w:pPr>
            <w:jc w:val="right"/>
            <w:rPr>
              <w:bCs/>
              <w:color w:val="7F7F7F" w:themeColor="text1" w:themeTint="80"/>
              <w:spacing w:val="10"/>
              <w:sz w:val="16"/>
              <w:szCs w:val="16"/>
            </w:rPr>
          </w:pPr>
          <w:hyperlink r:id="rId3" w:history="1">
            <w:r w:rsidR="00D211DE" w:rsidRPr="00BB07A6">
              <w:rPr>
                <w:bCs/>
                <w:color w:val="7F7F7F" w:themeColor="text1" w:themeTint="80"/>
                <w:spacing w:val="10"/>
                <w:sz w:val="16"/>
                <w:szCs w:val="16"/>
              </w:rPr>
              <w:t>www.top-normy.cz</w:t>
            </w:r>
          </w:hyperlink>
          <w:r w:rsidR="004C7619" w:rsidRPr="00BB07A6">
            <w:rPr>
              <w:bCs/>
              <w:color w:val="7F7F7F" w:themeColor="text1" w:themeTint="80"/>
              <w:spacing w:val="10"/>
              <w:sz w:val="16"/>
              <w:szCs w:val="16"/>
            </w:rPr>
            <w:t xml:space="preserve">; </w:t>
          </w:r>
          <w:proofErr w:type="gramStart"/>
          <w:r w:rsidR="00D211DE" w:rsidRPr="00BB07A6">
            <w:rPr>
              <w:bCs/>
              <w:color w:val="7F7F7F" w:themeColor="text1" w:themeTint="80"/>
              <w:spacing w:val="10"/>
              <w:sz w:val="16"/>
              <w:szCs w:val="16"/>
            </w:rPr>
            <w:t>www</w:t>
          </w:r>
          <w:proofErr w:type="gramEnd"/>
          <w:r w:rsidR="00D211DE" w:rsidRPr="00BB07A6">
            <w:rPr>
              <w:bCs/>
              <w:color w:val="7F7F7F" w:themeColor="text1" w:themeTint="80"/>
              <w:spacing w:val="10"/>
              <w:sz w:val="16"/>
              <w:szCs w:val="16"/>
            </w:rPr>
            <w:t>.</w:t>
          </w:r>
          <w:proofErr w:type="gramStart"/>
          <w:r w:rsidR="00D211DE" w:rsidRPr="00BB07A6">
            <w:rPr>
              <w:bCs/>
              <w:color w:val="7F7F7F" w:themeColor="text1" w:themeTint="80"/>
              <w:spacing w:val="10"/>
              <w:sz w:val="16"/>
              <w:szCs w:val="16"/>
            </w:rPr>
            <w:t>konzument</w:t>
          </w:r>
          <w:proofErr w:type="gramEnd"/>
          <w:r w:rsidR="00D211DE" w:rsidRPr="00BB07A6">
            <w:rPr>
              <w:bCs/>
              <w:color w:val="7F7F7F" w:themeColor="text1" w:themeTint="80"/>
              <w:spacing w:val="10"/>
              <w:sz w:val="16"/>
              <w:szCs w:val="16"/>
            </w:rPr>
            <w:t>.cz</w:t>
          </w:r>
        </w:p>
      </w:tc>
      <w:tc>
        <w:tcPr>
          <w:tcW w:w="1116" w:type="dxa"/>
          <w:vAlign w:val="center"/>
        </w:tcPr>
        <w:p w:rsidR="00D211DE" w:rsidRPr="00BB07A6" w:rsidRDefault="00D211DE">
          <w:pPr>
            <w:jc w:val="right"/>
            <w:rPr>
              <w:bCs/>
              <w:color w:val="7F7F7F" w:themeColor="text1" w:themeTint="80"/>
              <w:spacing w:val="10"/>
              <w:sz w:val="16"/>
              <w:szCs w:val="16"/>
            </w:rPr>
          </w:pPr>
        </w:p>
        <w:p w:rsidR="00D211DE" w:rsidRPr="00BB07A6" w:rsidRDefault="00D211DE">
          <w:pPr>
            <w:jc w:val="right"/>
            <w:rPr>
              <w:bCs/>
              <w:color w:val="7F7F7F" w:themeColor="text1" w:themeTint="80"/>
              <w:spacing w:val="10"/>
              <w:sz w:val="16"/>
              <w:szCs w:val="16"/>
            </w:rPr>
          </w:pPr>
        </w:p>
      </w:tc>
    </w:tr>
  </w:tbl>
  <w:p w:rsidR="00D211DE" w:rsidRDefault="00D211DE">
    <w:pPr>
      <w:pStyle w:val="Zpat"/>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3C" w:rsidRDefault="00CF46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FF" w:rsidRDefault="00DA06FF">
      <w:r>
        <w:separator/>
      </w:r>
    </w:p>
  </w:footnote>
  <w:footnote w:type="continuationSeparator" w:id="0">
    <w:p w:rsidR="00DA06FF" w:rsidRDefault="00DA0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3C" w:rsidRDefault="00CF463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4890"/>
      <w:gridCol w:w="4819"/>
    </w:tblGrid>
    <w:tr w:rsidR="00D211DE" w:rsidTr="00E6069E">
      <w:trPr>
        <w:trHeight w:val="977"/>
      </w:trPr>
      <w:tc>
        <w:tcPr>
          <w:tcW w:w="4890" w:type="dxa"/>
          <w:tcBorders>
            <w:top w:val="nil"/>
            <w:left w:val="nil"/>
            <w:bottom w:val="nil"/>
            <w:right w:val="nil"/>
          </w:tcBorders>
        </w:tcPr>
        <w:p w:rsidR="00D211DE" w:rsidRDefault="00F86228" w:rsidP="00E6069E">
          <w:r>
            <w:rPr>
              <w:noProof/>
            </w:rPr>
            <w:drawing>
              <wp:inline distT="0" distB="0" distL="0" distR="0" wp14:anchorId="42D6045A" wp14:editId="2771D327">
                <wp:extent cx="1666875" cy="704850"/>
                <wp:effectExtent l="0" t="0" r="9525" b="0"/>
                <wp:docPr id="1" name="obrázek 1" descr="logoKaStan_Cz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Stan_Cz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04850"/>
                        </a:xfrm>
                        <a:prstGeom prst="rect">
                          <a:avLst/>
                        </a:prstGeom>
                        <a:noFill/>
                        <a:ln>
                          <a:noFill/>
                        </a:ln>
                      </pic:spPr>
                    </pic:pic>
                  </a:graphicData>
                </a:graphic>
              </wp:inline>
            </w:drawing>
          </w:r>
        </w:p>
      </w:tc>
      <w:tc>
        <w:tcPr>
          <w:tcW w:w="4819" w:type="dxa"/>
          <w:tcBorders>
            <w:top w:val="nil"/>
            <w:left w:val="nil"/>
            <w:bottom w:val="nil"/>
            <w:right w:val="nil"/>
          </w:tcBorders>
        </w:tcPr>
        <w:p w:rsidR="00D211DE" w:rsidRPr="00E6069E" w:rsidRDefault="00CF463C" w:rsidP="00503D33">
          <w:pPr>
            <w:ind w:right="71"/>
            <w:jc w:val="right"/>
            <w:rPr>
              <w:sz w:val="8"/>
            </w:rPr>
          </w:pPr>
          <w:r>
            <w:rPr>
              <w:noProof/>
            </w:rPr>
            <w:drawing>
              <wp:inline distT="0" distB="0" distL="0" distR="0" wp14:anchorId="54BE4C91" wp14:editId="238C48DE">
                <wp:extent cx="2139456" cy="704850"/>
                <wp:effectExtent l="0" t="0" r="0" b="0"/>
                <wp:docPr id="3" name="Obrázek 3" descr="G:\_archive_ag_du_new_recon\_SCS\_Formul_Loga_etc\_Korekce 2014 -manual atd\SCS manual\office &amp; web\SCS_logotyp_hlavni\SCS_logotyp_hlavn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archive_ag_du_new_recon\_SCS\_Formul_Loga_etc\_Korekce 2014 -manual atd\SCS manual\office &amp; web\SCS_logotyp_hlavni\SCS_logotyp_hlavn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456" cy="704850"/>
                        </a:xfrm>
                        <a:prstGeom prst="rect">
                          <a:avLst/>
                        </a:prstGeom>
                        <a:noFill/>
                        <a:ln>
                          <a:noFill/>
                        </a:ln>
                      </pic:spPr>
                    </pic:pic>
                  </a:graphicData>
                </a:graphic>
              </wp:inline>
            </w:drawing>
          </w:r>
        </w:p>
      </w:tc>
    </w:tr>
    <w:tr w:rsidR="00D211DE" w:rsidTr="00E6069E">
      <w:trPr>
        <w:trHeight w:val="80"/>
      </w:trPr>
      <w:tc>
        <w:tcPr>
          <w:tcW w:w="4890" w:type="dxa"/>
          <w:tcBorders>
            <w:top w:val="nil"/>
            <w:bottom w:val="single" w:sz="18" w:space="0" w:color="333399"/>
          </w:tcBorders>
        </w:tcPr>
        <w:p w:rsidR="00D211DE" w:rsidRDefault="00D211DE">
          <w:pPr>
            <w:spacing w:line="360" w:lineRule="auto"/>
            <w:rPr>
              <w:sz w:val="6"/>
            </w:rPr>
          </w:pPr>
        </w:p>
      </w:tc>
      <w:tc>
        <w:tcPr>
          <w:tcW w:w="4819" w:type="dxa"/>
          <w:tcBorders>
            <w:top w:val="nil"/>
            <w:bottom w:val="single" w:sz="18" w:space="0" w:color="333399"/>
          </w:tcBorders>
          <w:vAlign w:val="center"/>
        </w:tcPr>
        <w:p w:rsidR="00D211DE" w:rsidRDefault="00D211DE" w:rsidP="00CE30FE">
          <w:pPr>
            <w:ind w:right="-70"/>
            <w:jc w:val="right"/>
            <w:rPr>
              <w:sz w:val="8"/>
            </w:rPr>
          </w:pPr>
        </w:p>
      </w:tc>
    </w:tr>
  </w:tbl>
  <w:p w:rsidR="00D211DE" w:rsidRPr="00D211DE" w:rsidRDefault="00D211DE" w:rsidP="00E6069E">
    <w:pPr>
      <w:pStyle w:val="Zhlav"/>
      <w:tabs>
        <w:tab w:val="clear" w:pos="9072"/>
        <w:tab w:val="right" w:pos="9356"/>
      </w:tabs>
      <w:ind w:right="284"/>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3C" w:rsidRDefault="00CF463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633"/>
    <w:multiLevelType w:val="hybridMultilevel"/>
    <w:tmpl w:val="E61EA7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734323"/>
    <w:multiLevelType w:val="hybridMultilevel"/>
    <w:tmpl w:val="A59E48BE"/>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B24B85"/>
    <w:multiLevelType w:val="hybridMultilevel"/>
    <w:tmpl w:val="F11C75F6"/>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282820"/>
    <w:multiLevelType w:val="hybridMultilevel"/>
    <w:tmpl w:val="263AEC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98B1164"/>
    <w:multiLevelType w:val="hybridMultilevel"/>
    <w:tmpl w:val="577803D8"/>
    <w:lvl w:ilvl="0" w:tplc="04050017">
      <w:start w:val="1"/>
      <w:numFmt w:val="lowerLetter"/>
      <w:lvlText w:val="%1)"/>
      <w:lvlJc w:val="left"/>
      <w:pPr>
        <w:tabs>
          <w:tab w:val="num" w:pos="720"/>
        </w:tabs>
        <w:ind w:left="720" w:hanging="360"/>
      </w:pPr>
      <w:rPr>
        <w:rFonts w:hint="default"/>
      </w:rPr>
    </w:lvl>
    <w:lvl w:ilvl="1" w:tplc="B64AD9E4">
      <w:start w:val="1"/>
      <w:numFmt w:val="decimal"/>
      <w:lvlText w:val="%2."/>
      <w:lvlJc w:val="left"/>
      <w:pPr>
        <w:tabs>
          <w:tab w:val="num" w:pos="1440"/>
        </w:tabs>
        <w:ind w:left="1440" w:hanging="360"/>
      </w:pPr>
      <w:rPr>
        <w:rFonts w:hint="default"/>
      </w:rPr>
    </w:lvl>
    <w:lvl w:ilvl="2" w:tplc="04050003">
      <w:start w:val="1"/>
      <w:numFmt w:val="bullet"/>
      <w:lvlText w:val="o"/>
      <w:lvlJc w:val="left"/>
      <w:pPr>
        <w:tabs>
          <w:tab w:val="num" w:pos="2340"/>
        </w:tabs>
        <w:ind w:left="2340" w:hanging="360"/>
      </w:pPr>
      <w:rPr>
        <w:rFonts w:ascii="Courier New" w:hAnsi="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1A5EBB"/>
    <w:multiLevelType w:val="hybridMultilevel"/>
    <w:tmpl w:val="F1E0C6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B149BD"/>
    <w:multiLevelType w:val="hybridMultilevel"/>
    <w:tmpl w:val="C978B8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57C377A"/>
    <w:multiLevelType w:val="hybridMultilevel"/>
    <w:tmpl w:val="EAE270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E1A54AE"/>
    <w:multiLevelType w:val="hybridMultilevel"/>
    <w:tmpl w:val="B11C151A"/>
    <w:lvl w:ilvl="0" w:tplc="FFFFFFFF">
      <w:start w:val="1"/>
      <w:numFmt w:val="decimal"/>
      <w:lvlText w:val="%1."/>
      <w:lvlJc w:val="left"/>
      <w:pPr>
        <w:tabs>
          <w:tab w:val="num" w:pos="1440"/>
        </w:tabs>
        <w:ind w:left="144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0A61B47"/>
    <w:multiLevelType w:val="hybridMultilevel"/>
    <w:tmpl w:val="36BC2FE0"/>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5400AE7"/>
    <w:multiLevelType w:val="hybridMultilevel"/>
    <w:tmpl w:val="CB0058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7B2B0F"/>
    <w:multiLevelType w:val="hybridMultilevel"/>
    <w:tmpl w:val="58842340"/>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A6A2A72"/>
    <w:multiLevelType w:val="hybridMultilevel"/>
    <w:tmpl w:val="F14C6F48"/>
    <w:lvl w:ilvl="0" w:tplc="120A68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D260C3C"/>
    <w:multiLevelType w:val="hybridMultilevel"/>
    <w:tmpl w:val="06D688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E0329F3"/>
    <w:multiLevelType w:val="hybridMultilevel"/>
    <w:tmpl w:val="01DE1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834E73"/>
    <w:multiLevelType w:val="hybridMultilevel"/>
    <w:tmpl w:val="9E1C1B7C"/>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35439BF"/>
    <w:multiLevelType w:val="hybridMultilevel"/>
    <w:tmpl w:val="3628294C"/>
    <w:lvl w:ilvl="0" w:tplc="0756E148">
      <w:start w:val="1"/>
      <w:numFmt w:val="lowerLetter"/>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nsid w:val="435727B9"/>
    <w:multiLevelType w:val="hybridMultilevel"/>
    <w:tmpl w:val="41445E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51575EC"/>
    <w:multiLevelType w:val="hybridMultilevel"/>
    <w:tmpl w:val="E1064028"/>
    <w:lvl w:ilvl="0" w:tplc="058882EA">
      <w:start w:val="200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950A6A"/>
    <w:multiLevelType w:val="hybridMultilevel"/>
    <w:tmpl w:val="8FECC490"/>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2F82C76"/>
    <w:multiLevelType w:val="hybridMultilevel"/>
    <w:tmpl w:val="CC94F6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5061BED"/>
    <w:multiLevelType w:val="hybridMultilevel"/>
    <w:tmpl w:val="F266B8EC"/>
    <w:lvl w:ilvl="0" w:tplc="FFFFFFFF">
      <w:start w:val="1"/>
      <w:numFmt w:val="bullet"/>
      <w:lvlText w:val="-"/>
      <w:lvlJc w:val="left"/>
      <w:pPr>
        <w:tabs>
          <w:tab w:val="num" w:pos="1077"/>
        </w:tabs>
        <w:ind w:left="1077" w:hanging="363"/>
      </w:pPr>
      <w:rPr>
        <w:rFonts w:ascii="Times New Roman" w:eastAsia="Times New Roman" w:hAnsi="Times New Roman" w:cs="Times New Roman"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2">
    <w:nsid w:val="64270222"/>
    <w:multiLevelType w:val="hybridMultilevel"/>
    <w:tmpl w:val="102A73F6"/>
    <w:lvl w:ilvl="0" w:tplc="07D03308">
      <w:numFmt w:val="bullet"/>
      <w:lvlText w:val=""/>
      <w:lvlJc w:val="left"/>
      <w:pPr>
        <w:tabs>
          <w:tab w:val="num" w:pos="360"/>
        </w:tabs>
        <w:ind w:left="360" w:hanging="360"/>
      </w:pPr>
      <w:rPr>
        <w:rFonts w:ascii="Symbol" w:eastAsia="Times New Roman" w:hAnsi="Symbol" w:cs="Times New Roman" w:hint="default"/>
        <w:color w:val="auto"/>
      </w:rPr>
    </w:lvl>
    <w:lvl w:ilvl="1" w:tplc="04050003">
      <w:start w:val="1"/>
      <w:numFmt w:val="bullet"/>
      <w:lvlText w:val="o"/>
      <w:lvlJc w:val="left"/>
      <w:pPr>
        <w:tabs>
          <w:tab w:val="num" w:pos="732"/>
        </w:tabs>
        <w:ind w:left="732" w:hanging="360"/>
      </w:pPr>
      <w:rPr>
        <w:rFonts w:ascii="Courier New" w:hAnsi="Courier New" w:cs="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cs="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cs="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23">
    <w:nsid w:val="681D624F"/>
    <w:multiLevelType w:val="hybridMultilevel"/>
    <w:tmpl w:val="2CA62D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B77142A"/>
    <w:multiLevelType w:val="hybridMultilevel"/>
    <w:tmpl w:val="72BCFE3C"/>
    <w:lvl w:ilvl="0" w:tplc="04050001">
      <w:start w:val="1"/>
      <w:numFmt w:val="bullet"/>
      <w:lvlText w:val=""/>
      <w:lvlJc w:val="left"/>
      <w:pPr>
        <w:ind w:left="174" w:hanging="360"/>
      </w:pPr>
      <w:rPr>
        <w:rFonts w:ascii="Symbol" w:hAnsi="Symbol" w:hint="default"/>
      </w:rPr>
    </w:lvl>
    <w:lvl w:ilvl="1" w:tplc="7D34AD8C">
      <w:numFmt w:val="bullet"/>
      <w:lvlText w:val="-"/>
      <w:lvlJc w:val="left"/>
      <w:pPr>
        <w:ind w:left="894" w:hanging="360"/>
      </w:pPr>
      <w:rPr>
        <w:rFonts w:ascii="Times New Roman" w:eastAsia="Times New Roman" w:hAnsi="Times New Roman" w:cs="Times New Roman" w:hint="default"/>
      </w:rPr>
    </w:lvl>
    <w:lvl w:ilvl="2" w:tplc="0405001B">
      <w:start w:val="1"/>
      <w:numFmt w:val="lowerRoman"/>
      <w:lvlText w:val="%3."/>
      <w:lvlJc w:val="right"/>
      <w:pPr>
        <w:ind w:left="1614" w:hanging="180"/>
      </w:pPr>
    </w:lvl>
    <w:lvl w:ilvl="3" w:tplc="7D34AD8C">
      <w:numFmt w:val="bullet"/>
      <w:lvlText w:val="-"/>
      <w:lvlJc w:val="left"/>
      <w:pPr>
        <w:ind w:left="2334" w:hanging="360"/>
      </w:pPr>
      <w:rPr>
        <w:rFonts w:ascii="Times New Roman" w:eastAsia="Times New Roman" w:hAnsi="Times New Roman" w:cs="Times New Roman" w:hint="default"/>
      </w:rPr>
    </w:lvl>
    <w:lvl w:ilvl="4" w:tplc="04050019" w:tentative="1">
      <w:start w:val="1"/>
      <w:numFmt w:val="lowerLetter"/>
      <w:lvlText w:val="%5."/>
      <w:lvlJc w:val="left"/>
      <w:pPr>
        <w:ind w:left="3054" w:hanging="360"/>
      </w:pPr>
    </w:lvl>
    <w:lvl w:ilvl="5" w:tplc="0405001B" w:tentative="1">
      <w:start w:val="1"/>
      <w:numFmt w:val="lowerRoman"/>
      <w:lvlText w:val="%6."/>
      <w:lvlJc w:val="right"/>
      <w:pPr>
        <w:ind w:left="3774" w:hanging="180"/>
      </w:pPr>
    </w:lvl>
    <w:lvl w:ilvl="6" w:tplc="0405000F" w:tentative="1">
      <w:start w:val="1"/>
      <w:numFmt w:val="decimal"/>
      <w:lvlText w:val="%7."/>
      <w:lvlJc w:val="left"/>
      <w:pPr>
        <w:ind w:left="4494" w:hanging="360"/>
      </w:pPr>
    </w:lvl>
    <w:lvl w:ilvl="7" w:tplc="04050019" w:tentative="1">
      <w:start w:val="1"/>
      <w:numFmt w:val="lowerLetter"/>
      <w:lvlText w:val="%8."/>
      <w:lvlJc w:val="left"/>
      <w:pPr>
        <w:ind w:left="5214" w:hanging="360"/>
      </w:pPr>
    </w:lvl>
    <w:lvl w:ilvl="8" w:tplc="0405001B" w:tentative="1">
      <w:start w:val="1"/>
      <w:numFmt w:val="lowerRoman"/>
      <w:lvlText w:val="%9."/>
      <w:lvlJc w:val="right"/>
      <w:pPr>
        <w:ind w:left="5934" w:hanging="180"/>
      </w:pPr>
    </w:lvl>
  </w:abstractNum>
  <w:abstractNum w:abstractNumId="25">
    <w:nsid w:val="6EB74216"/>
    <w:multiLevelType w:val="hybridMultilevel"/>
    <w:tmpl w:val="01DE13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40818CB"/>
    <w:multiLevelType w:val="hybridMultilevel"/>
    <w:tmpl w:val="B47ED4B4"/>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5F57D2B"/>
    <w:multiLevelType w:val="hybridMultilevel"/>
    <w:tmpl w:val="4322BD1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91F6381"/>
    <w:multiLevelType w:val="hybridMultilevel"/>
    <w:tmpl w:val="F49A7036"/>
    <w:lvl w:ilvl="0" w:tplc="86B68290">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C0050EE"/>
    <w:multiLevelType w:val="hybridMultilevel"/>
    <w:tmpl w:val="F064C4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1"/>
  </w:num>
  <w:num w:numId="4">
    <w:abstractNumId w:val="4"/>
  </w:num>
  <w:num w:numId="5">
    <w:abstractNumId w:val="20"/>
  </w:num>
  <w:num w:numId="6">
    <w:abstractNumId w:val="16"/>
  </w:num>
  <w:num w:numId="7">
    <w:abstractNumId w:val="8"/>
  </w:num>
  <w:num w:numId="8">
    <w:abstractNumId w:val="29"/>
  </w:num>
  <w:num w:numId="9">
    <w:abstractNumId w:val="27"/>
  </w:num>
  <w:num w:numId="10">
    <w:abstractNumId w:val="5"/>
  </w:num>
  <w:num w:numId="11">
    <w:abstractNumId w:val="19"/>
  </w:num>
  <w:num w:numId="12">
    <w:abstractNumId w:val="15"/>
  </w:num>
  <w:num w:numId="13">
    <w:abstractNumId w:val="23"/>
  </w:num>
  <w:num w:numId="14">
    <w:abstractNumId w:val="6"/>
  </w:num>
  <w:num w:numId="15">
    <w:abstractNumId w:val="13"/>
  </w:num>
  <w:num w:numId="16">
    <w:abstractNumId w:val="10"/>
  </w:num>
  <w:num w:numId="17">
    <w:abstractNumId w:val="2"/>
  </w:num>
  <w:num w:numId="18">
    <w:abstractNumId w:val="26"/>
  </w:num>
  <w:num w:numId="19">
    <w:abstractNumId w:val="21"/>
  </w:num>
  <w:num w:numId="20">
    <w:abstractNumId w:val="9"/>
  </w:num>
  <w:num w:numId="21">
    <w:abstractNumId w:val="11"/>
  </w:num>
  <w:num w:numId="22">
    <w:abstractNumId w:val="22"/>
  </w:num>
  <w:num w:numId="23">
    <w:abstractNumId w:val="18"/>
  </w:num>
  <w:num w:numId="24">
    <w:abstractNumId w:val="28"/>
  </w:num>
  <w:num w:numId="25">
    <w:abstractNumId w:val="3"/>
  </w:num>
  <w:num w:numId="26">
    <w:abstractNumId w:val="7"/>
  </w:num>
  <w:num w:numId="27">
    <w:abstractNumId w:val="25"/>
  </w:num>
  <w:num w:numId="28">
    <w:abstractNumId w:val="14"/>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CE"/>
    <w:rsid w:val="00000BBB"/>
    <w:rsid w:val="000212DE"/>
    <w:rsid w:val="000A1CBC"/>
    <w:rsid w:val="000E330A"/>
    <w:rsid w:val="00116459"/>
    <w:rsid w:val="001166A4"/>
    <w:rsid w:val="00124A54"/>
    <w:rsid w:val="00141082"/>
    <w:rsid w:val="001B0E0F"/>
    <w:rsid w:val="001D1BC9"/>
    <w:rsid w:val="00250C93"/>
    <w:rsid w:val="00277C59"/>
    <w:rsid w:val="00280435"/>
    <w:rsid w:val="00285249"/>
    <w:rsid w:val="002C3C7F"/>
    <w:rsid w:val="002D094E"/>
    <w:rsid w:val="00326DCA"/>
    <w:rsid w:val="0033327E"/>
    <w:rsid w:val="00333B8E"/>
    <w:rsid w:val="00343356"/>
    <w:rsid w:val="00363535"/>
    <w:rsid w:val="003A7D01"/>
    <w:rsid w:val="004179B6"/>
    <w:rsid w:val="00491EFD"/>
    <w:rsid w:val="004C7619"/>
    <w:rsid w:val="00503D33"/>
    <w:rsid w:val="005332C0"/>
    <w:rsid w:val="00544A87"/>
    <w:rsid w:val="00596128"/>
    <w:rsid w:val="005979AF"/>
    <w:rsid w:val="005B2F69"/>
    <w:rsid w:val="005F40F3"/>
    <w:rsid w:val="0060473E"/>
    <w:rsid w:val="00662932"/>
    <w:rsid w:val="00664BF3"/>
    <w:rsid w:val="00687028"/>
    <w:rsid w:val="007911DD"/>
    <w:rsid w:val="007E29FE"/>
    <w:rsid w:val="00815610"/>
    <w:rsid w:val="00876265"/>
    <w:rsid w:val="0089064E"/>
    <w:rsid w:val="008A3042"/>
    <w:rsid w:val="008D516D"/>
    <w:rsid w:val="009360CB"/>
    <w:rsid w:val="00997132"/>
    <w:rsid w:val="009C2F19"/>
    <w:rsid w:val="009D73EA"/>
    <w:rsid w:val="009F417D"/>
    <w:rsid w:val="00A102A2"/>
    <w:rsid w:val="00A50D21"/>
    <w:rsid w:val="00A56614"/>
    <w:rsid w:val="00AE6C43"/>
    <w:rsid w:val="00AF2662"/>
    <w:rsid w:val="00AF6E7B"/>
    <w:rsid w:val="00B2184E"/>
    <w:rsid w:val="00B311CE"/>
    <w:rsid w:val="00BB07A6"/>
    <w:rsid w:val="00BE61FF"/>
    <w:rsid w:val="00C02D2C"/>
    <w:rsid w:val="00C1067B"/>
    <w:rsid w:val="00C22D18"/>
    <w:rsid w:val="00C62AAE"/>
    <w:rsid w:val="00C74594"/>
    <w:rsid w:val="00C779CB"/>
    <w:rsid w:val="00C814ED"/>
    <w:rsid w:val="00CA4A78"/>
    <w:rsid w:val="00CE30FE"/>
    <w:rsid w:val="00CF463C"/>
    <w:rsid w:val="00D2042B"/>
    <w:rsid w:val="00D211DE"/>
    <w:rsid w:val="00D242D3"/>
    <w:rsid w:val="00D27474"/>
    <w:rsid w:val="00D626A3"/>
    <w:rsid w:val="00D963D1"/>
    <w:rsid w:val="00DA06FF"/>
    <w:rsid w:val="00DB2F77"/>
    <w:rsid w:val="00DE34F8"/>
    <w:rsid w:val="00E05348"/>
    <w:rsid w:val="00E41C48"/>
    <w:rsid w:val="00E47C33"/>
    <w:rsid w:val="00E6069E"/>
    <w:rsid w:val="00F04533"/>
    <w:rsid w:val="00F060CE"/>
    <w:rsid w:val="00F4375C"/>
    <w:rsid w:val="00F85065"/>
    <w:rsid w:val="00F86228"/>
    <w:rsid w:val="00FB58D2"/>
    <w:rsid w:val="00FC0FBE"/>
    <w:rsid w:val="00FF0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64BF3"/>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rFonts w:ascii="Arial" w:hAnsi="Arial" w:cs="Arial"/>
      <w:b/>
      <w:bCs/>
      <w:sz w:val="20"/>
    </w:rPr>
  </w:style>
  <w:style w:type="paragraph" w:styleId="Nadpis4">
    <w:name w:val="heading 4"/>
    <w:basedOn w:val="Normln"/>
    <w:next w:val="Normln"/>
    <w:qFormat/>
    <w:pPr>
      <w:keepNext/>
      <w:jc w:val="right"/>
      <w:outlineLvl w:val="3"/>
    </w:pPr>
    <w:rPr>
      <w:b/>
      <w:bCs/>
      <w:color w:val="333399"/>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rPr>
  </w:style>
  <w:style w:type="character" w:styleId="Hypertextovodkaz">
    <w:name w:val="Hyperlink"/>
    <w:uiPriority w:val="99"/>
    <w:rPr>
      <w:color w:val="0000FF"/>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character" w:styleId="Sledovanodkaz">
    <w:name w:val="FollowedHyperlink"/>
    <w:rPr>
      <w:color w:val="800080"/>
      <w:u w:val="single"/>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pPr>
      <w:ind w:left="171" w:hanging="171"/>
    </w:pPr>
    <w:rPr>
      <w:rFonts w:ascii="Arial" w:hAnsi="Arial"/>
      <w:sz w:val="20"/>
    </w:rPr>
  </w:style>
  <w:style w:type="paragraph" w:styleId="Zkladntextodsazen">
    <w:name w:val="Body Text Indent"/>
    <w:basedOn w:val="Normln"/>
    <w:pPr>
      <w:ind w:left="228" w:hanging="228"/>
    </w:pPr>
    <w:rPr>
      <w:rFonts w:ascii="Arial" w:hAnsi="Arial"/>
      <w:sz w:val="20"/>
    </w:rPr>
  </w:style>
  <w:style w:type="paragraph" w:customStyle="1" w:styleId="Styl1">
    <w:name w:val="Styl1"/>
    <w:basedOn w:val="Normln"/>
    <w:rsid w:val="00664BF3"/>
    <w:pPr>
      <w:overflowPunct w:val="0"/>
      <w:autoSpaceDE w:val="0"/>
      <w:autoSpaceDN w:val="0"/>
      <w:adjustRightInd w:val="0"/>
      <w:textAlignment w:val="baseline"/>
    </w:pPr>
    <w:rPr>
      <w:szCs w:val="20"/>
    </w:rPr>
  </w:style>
  <w:style w:type="paragraph" w:styleId="Odstavecseseznamem">
    <w:name w:val="List Paragraph"/>
    <w:basedOn w:val="Normln"/>
    <w:uiPriority w:val="34"/>
    <w:qFormat/>
    <w:rsid w:val="00A50D21"/>
    <w:pPr>
      <w:ind w:left="708"/>
    </w:pPr>
  </w:style>
  <w:style w:type="paragraph" w:styleId="Textbubliny">
    <w:name w:val="Balloon Text"/>
    <w:basedOn w:val="Normln"/>
    <w:link w:val="TextbublinyChar"/>
    <w:rsid w:val="00BB07A6"/>
    <w:rPr>
      <w:rFonts w:ascii="Tahoma" w:hAnsi="Tahoma" w:cs="Tahoma"/>
      <w:sz w:val="16"/>
      <w:szCs w:val="16"/>
    </w:rPr>
  </w:style>
  <w:style w:type="character" w:customStyle="1" w:styleId="TextbublinyChar">
    <w:name w:val="Text bubliny Char"/>
    <w:basedOn w:val="Standardnpsmoodstavce"/>
    <w:link w:val="Textbubliny"/>
    <w:rsid w:val="00BB07A6"/>
    <w:rPr>
      <w:rFonts w:ascii="Tahoma" w:hAnsi="Tahoma" w:cs="Tahoma"/>
      <w:sz w:val="16"/>
      <w:szCs w:val="16"/>
    </w:rPr>
  </w:style>
  <w:style w:type="character" w:customStyle="1" w:styleId="apple-converted-space">
    <w:name w:val="apple-converted-space"/>
    <w:rsid w:val="00D24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64BF3"/>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rFonts w:ascii="Arial" w:hAnsi="Arial" w:cs="Arial"/>
      <w:b/>
      <w:bCs/>
      <w:sz w:val="20"/>
    </w:rPr>
  </w:style>
  <w:style w:type="paragraph" w:styleId="Nadpis4">
    <w:name w:val="heading 4"/>
    <w:basedOn w:val="Normln"/>
    <w:next w:val="Normln"/>
    <w:qFormat/>
    <w:pPr>
      <w:keepNext/>
      <w:jc w:val="right"/>
      <w:outlineLvl w:val="3"/>
    </w:pPr>
    <w:rPr>
      <w:b/>
      <w:bCs/>
      <w:color w:val="333399"/>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rPr>
  </w:style>
  <w:style w:type="character" w:styleId="Hypertextovodkaz">
    <w:name w:val="Hyperlink"/>
    <w:uiPriority w:val="99"/>
    <w:rPr>
      <w:color w:val="0000FF"/>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character" w:styleId="Sledovanodkaz">
    <w:name w:val="FollowedHyperlink"/>
    <w:rPr>
      <w:color w:val="800080"/>
      <w:u w:val="single"/>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pPr>
      <w:ind w:left="171" w:hanging="171"/>
    </w:pPr>
    <w:rPr>
      <w:rFonts w:ascii="Arial" w:hAnsi="Arial"/>
      <w:sz w:val="20"/>
    </w:rPr>
  </w:style>
  <w:style w:type="paragraph" w:styleId="Zkladntextodsazen">
    <w:name w:val="Body Text Indent"/>
    <w:basedOn w:val="Normln"/>
    <w:pPr>
      <w:ind w:left="228" w:hanging="228"/>
    </w:pPr>
    <w:rPr>
      <w:rFonts w:ascii="Arial" w:hAnsi="Arial"/>
      <w:sz w:val="20"/>
    </w:rPr>
  </w:style>
  <w:style w:type="paragraph" w:customStyle="1" w:styleId="Styl1">
    <w:name w:val="Styl1"/>
    <w:basedOn w:val="Normln"/>
    <w:rsid w:val="00664BF3"/>
    <w:pPr>
      <w:overflowPunct w:val="0"/>
      <w:autoSpaceDE w:val="0"/>
      <w:autoSpaceDN w:val="0"/>
      <w:adjustRightInd w:val="0"/>
      <w:textAlignment w:val="baseline"/>
    </w:pPr>
    <w:rPr>
      <w:szCs w:val="20"/>
    </w:rPr>
  </w:style>
  <w:style w:type="paragraph" w:styleId="Odstavecseseznamem">
    <w:name w:val="List Paragraph"/>
    <w:basedOn w:val="Normln"/>
    <w:uiPriority w:val="34"/>
    <w:qFormat/>
    <w:rsid w:val="00A50D21"/>
    <w:pPr>
      <w:ind w:left="708"/>
    </w:pPr>
  </w:style>
  <w:style w:type="paragraph" w:styleId="Textbubliny">
    <w:name w:val="Balloon Text"/>
    <w:basedOn w:val="Normln"/>
    <w:link w:val="TextbublinyChar"/>
    <w:rsid w:val="00BB07A6"/>
    <w:rPr>
      <w:rFonts w:ascii="Tahoma" w:hAnsi="Tahoma" w:cs="Tahoma"/>
      <w:sz w:val="16"/>
      <w:szCs w:val="16"/>
    </w:rPr>
  </w:style>
  <w:style w:type="character" w:customStyle="1" w:styleId="TextbublinyChar">
    <w:name w:val="Text bubliny Char"/>
    <w:basedOn w:val="Standardnpsmoodstavce"/>
    <w:link w:val="Textbubliny"/>
    <w:rsid w:val="00BB07A6"/>
    <w:rPr>
      <w:rFonts w:ascii="Tahoma" w:hAnsi="Tahoma" w:cs="Tahoma"/>
      <w:sz w:val="16"/>
      <w:szCs w:val="16"/>
    </w:rPr>
  </w:style>
  <w:style w:type="character" w:customStyle="1" w:styleId="apple-converted-space">
    <w:name w:val="apple-converted-space"/>
    <w:rsid w:val="00D2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68794">
      <w:bodyDiv w:val="1"/>
      <w:marLeft w:val="0"/>
      <w:marRight w:val="0"/>
      <w:marTop w:val="0"/>
      <w:marBottom w:val="0"/>
      <w:divBdr>
        <w:top w:val="none" w:sz="0" w:space="0" w:color="auto"/>
        <w:left w:val="none" w:sz="0" w:space="0" w:color="auto"/>
        <w:bottom w:val="none" w:sz="0" w:space="0" w:color="auto"/>
        <w:right w:val="none" w:sz="0" w:space="0" w:color="auto"/>
      </w:divBdr>
    </w:div>
    <w:div w:id="19974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p-normy.cz/temata-normalizace/10-chovani-trhu-i/14-zranitelni-spotrebitele/narodni-konference-2016.php"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c.europa.eu/justice/newsroom/consumer-marketing/news/160223_en.htm" TargetMode="External"/><Relationship Id="rId17" Type="http://schemas.openxmlformats.org/officeDocument/2006/relationships/hyperlink" Target="http://www.konzument.cz/novinky/novinka/2/566/tiskova-zprava-k-vydani-publikace-pro-bezpecnost-deti-v-automobilech-zadrzne-systemy.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nzument.cz/users/publications/10-top-normy/202-pro-bezpecnost-deti-v-automobilech-zadrzne-systemy.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roparl.europa.eu/RegData/docs_autres_institutions/commission_europeenne/com/2012/0721/COM_COM%282012%290721_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onzument.cz/novinky/novinka/2/563/publikace-a-narodni-konference-k-posileni-pristupnosti-prostrednictvim-norem.php?action=show_archiv" TargetMode="External"/><Relationship Id="rId23" Type="http://schemas.openxmlformats.org/officeDocument/2006/relationships/footer" Target="footer3.xml"/><Relationship Id="rId10" Type="http://schemas.openxmlformats.org/officeDocument/2006/relationships/hyperlink" Target="http://www.anec.eu/attachments/ANEC-ACCESS-2016-G-002final.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p-normy.cz/temata-normalizace/10-chovani-trhu-i/14-zranitelni-spotrebitele/narodni-konference-2016.php" TargetMode="External"/><Relationship Id="rId14" Type="http://schemas.openxmlformats.org/officeDocument/2006/relationships/hyperlink" Target="http://www.konzument.cz/users/publications/10-top-normy/197-pristupnost-vyrobku-a-sluzeb-pro-zvlast-zranitelne-spotrebitele-obsah-a-funkce-technickych-norem.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op-normy.cz" TargetMode="External"/><Relationship Id="rId2" Type="http://schemas.openxmlformats.org/officeDocument/2006/relationships/hyperlink" Target="mailto:spot&#345;ebitel@regio.cz" TargetMode="External"/><Relationship Id="rId1" Type="http://schemas.openxmlformats.org/officeDocument/2006/relationships/hyperlink" Target="mailto:normy@regi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1297</Words>
  <Characters>7657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lpstr>
    </vt:vector>
  </TitlesOfParts>
  <Company>SCS</Company>
  <LinksUpToDate>false</LinksUpToDate>
  <CharactersWithSpaces>8937</CharactersWithSpaces>
  <SharedDoc>false</SharedDoc>
  <HLinks>
    <vt:vector size="18" baseType="variant">
      <vt:variant>
        <vt:i4>393284</vt:i4>
      </vt:variant>
      <vt:variant>
        <vt:i4>11</vt:i4>
      </vt:variant>
      <vt:variant>
        <vt:i4>0</vt:i4>
      </vt:variant>
      <vt:variant>
        <vt:i4>5</vt:i4>
      </vt:variant>
      <vt:variant>
        <vt:lpwstr>http://www.top-normy.cz/</vt:lpwstr>
      </vt:variant>
      <vt:variant>
        <vt:lpwstr/>
      </vt:variant>
      <vt:variant>
        <vt:i4>21233733</vt:i4>
      </vt:variant>
      <vt:variant>
        <vt:i4>8</vt:i4>
      </vt:variant>
      <vt:variant>
        <vt:i4>0</vt:i4>
      </vt:variant>
      <vt:variant>
        <vt:i4>5</vt:i4>
      </vt:variant>
      <vt:variant>
        <vt:lpwstr>mailto:spotřebitel@regio.cz</vt:lpwstr>
      </vt:variant>
      <vt:variant>
        <vt:lpwstr/>
      </vt:variant>
      <vt:variant>
        <vt:i4>1966122</vt:i4>
      </vt:variant>
      <vt:variant>
        <vt:i4>5</vt:i4>
      </vt:variant>
      <vt:variant>
        <vt:i4>0</vt:i4>
      </vt:variant>
      <vt:variant>
        <vt:i4>5</vt:i4>
      </vt:variant>
      <vt:variant>
        <vt:lpwstr>mailto:normy@regio.cz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Libor Dupal</dc:creator>
  <cp:lastModifiedBy>Dupal</cp:lastModifiedBy>
  <cp:revision>2</cp:revision>
  <cp:lastPrinted>2003-01-13T05:58:00Z</cp:lastPrinted>
  <dcterms:created xsi:type="dcterms:W3CDTF">2016-08-04T13:47:00Z</dcterms:created>
  <dcterms:modified xsi:type="dcterms:W3CDTF">2016-08-04T13:47:00Z</dcterms:modified>
</cp:coreProperties>
</file>