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49" w:rsidRDefault="00285249" w:rsidP="00285249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10 Chování trhu</w:t>
      </w:r>
    </w:p>
    <w:p w:rsidR="00285249" w:rsidRDefault="00285249" w:rsidP="00285249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14 Zranitelný spotřebitel</w:t>
      </w:r>
    </w:p>
    <w:p w:rsidR="00285249" w:rsidRDefault="00285249" w:rsidP="00285249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Vývoj v roce 2015 (zpracováno s podporou </w:t>
      </w:r>
      <w:r w:rsidRPr="00A8392D">
        <w:rPr>
          <w:sz w:val="22"/>
          <w:szCs w:val="22"/>
        </w:rPr>
        <w:t>projektu FP švýcarsko-české spolupráce</w:t>
      </w:r>
      <w:r w:rsidR="00DB2F77">
        <w:rPr>
          <w:sz w:val="22"/>
          <w:szCs w:val="22"/>
        </w:rPr>
        <w:t>)</w:t>
      </w:r>
      <w:bookmarkStart w:id="0" w:name="_GoBack"/>
      <w:bookmarkEnd w:id="0"/>
    </w:p>
    <w:p w:rsidR="00285249" w:rsidRPr="009360CB" w:rsidRDefault="00285249" w:rsidP="00285249">
      <w:pPr>
        <w:spacing w:before="240" w:after="120"/>
        <w:jc w:val="both"/>
        <w:rPr>
          <w:sz w:val="22"/>
          <w:szCs w:val="22"/>
        </w:rPr>
      </w:pPr>
      <w:r w:rsidRPr="006A7214">
        <w:rPr>
          <w:noProof/>
        </w:rPr>
        <w:drawing>
          <wp:inline distT="0" distB="0" distL="0" distR="0" wp14:anchorId="03C544E5" wp14:editId="41F0C854">
            <wp:extent cx="1444448" cy="516368"/>
            <wp:effectExtent l="0" t="0" r="381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6" cy="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516D" w:rsidRPr="00994806" w:rsidRDefault="008D516D" w:rsidP="008D516D">
      <w:pPr>
        <w:pStyle w:val="Odstavecseseznamem"/>
        <w:spacing w:after="120"/>
        <w:ind w:left="0"/>
        <w:jc w:val="both"/>
        <w:rPr>
          <w:b/>
          <w:sz w:val="20"/>
          <w:szCs w:val="20"/>
        </w:rPr>
      </w:pPr>
      <w:r w:rsidRPr="00994806">
        <w:rPr>
          <w:b/>
          <w:sz w:val="20"/>
          <w:szCs w:val="20"/>
        </w:rPr>
        <w:t>Souhrn, příklady výstupů zapojení:</w:t>
      </w:r>
    </w:p>
    <w:p w:rsidR="008D516D" w:rsidRPr="00A6277D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A6277D">
        <w:rPr>
          <w:sz w:val="20"/>
          <w:szCs w:val="20"/>
        </w:rPr>
        <w:t>Aktivit</w:t>
      </w:r>
      <w:r>
        <w:rPr>
          <w:sz w:val="20"/>
          <w:szCs w:val="20"/>
        </w:rPr>
        <w:t>a podporuje následující evropské</w:t>
      </w:r>
      <w:r w:rsidRPr="00A6277D">
        <w:rPr>
          <w:sz w:val="20"/>
          <w:szCs w:val="20"/>
        </w:rPr>
        <w:t xml:space="preserve"> politik</w:t>
      </w:r>
      <w:r>
        <w:rPr>
          <w:sz w:val="20"/>
          <w:szCs w:val="20"/>
        </w:rPr>
        <w:t>y</w:t>
      </w:r>
      <w:r w:rsidRPr="00A6277D">
        <w:rPr>
          <w:sz w:val="20"/>
          <w:szCs w:val="20"/>
        </w:rPr>
        <w:t xml:space="preserve"> a právní předpis</w:t>
      </w:r>
      <w:r>
        <w:rPr>
          <w:sz w:val="20"/>
          <w:szCs w:val="20"/>
        </w:rPr>
        <w:t>y</w:t>
      </w:r>
      <w:r w:rsidRPr="00A6277D">
        <w:rPr>
          <w:sz w:val="20"/>
          <w:szCs w:val="20"/>
        </w:rPr>
        <w:t xml:space="preserve">: </w:t>
      </w:r>
      <w:r w:rsidRPr="00994806">
        <w:rPr>
          <w:sz w:val="20"/>
          <w:szCs w:val="20"/>
        </w:rPr>
        <w:t xml:space="preserve">Roční </w:t>
      </w:r>
      <w:r>
        <w:rPr>
          <w:sz w:val="20"/>
          <w:szCs w:val="20"/>
        </w:rPr>
        <w:t xml:space="preserve">Pracovní </w:t>
      </w:r>
      <w:r w:rsidRPr="00994806">
        <w:rPr>
          <w:sz w:val="20"/>
          <w:szCs w:val="20"/>
        </w:rPr>
        <w:t xml:space="preserve">Program </w:t>
      </w:r>
      <w:r>
        <w:rPr>
          <w:sz w:val="20"/>
          <w:szCs w:val="20"/>
        </w:rPr>
        <w:t>Evropské</w:t>
      </w:r>
      <w:r w:rsidRPr="00994806">
        <w:rPr>
          <w:sz w:val="20"/>
          <w:szCs w:val="20"/>
        </w:rPr>
        <w:t xml:space="preserve"> unie pro evropskou normalizaci </w:t>
      </w:r>
      <w:r>
        <w:rPr>
          <w:sz w:val="20"/>
          <w:szCs w:val="20"/>
        </w:rPr>
        <w:t>na</w:t>
      </w:r>
      <w:r w:rsidRPr="00994806">
        <w:rPr>
          <w:sz w:val="20"/>
          <w:szCs w:val="20"/>
        </w:rPr>
        <w:t xml:space="preserve"> rok 2015</w:t>
      </w:r>
      <w:r>
        <w:rPr>
          <w:sz w:val="20"/>
          <w:szCs w:val="20"/>
        </w:rPr>
        <w:t xml:space="preserve">; </w:t>
      </w:r>
      <w:r w:rsidRPr="00A6277D">
        <w:rPr>
          <w:sz w:val="20"/>
          <w:szCs w:val="20"/>
        </w:rPr>
        <w:t>Postup</w:t>
      </w:r>
      <w:r>
        <w:rPr>
          <w:sz w:val="20"/>
          <w:szCs w:val="20"/>
        </w:rPr>
        <w:t>ný</w:t>
      </w:r>
      <w:r w:rsidRPr="00A6277D">
        <w:rPr>
          <w:sz w:val="20"/>
          <w:szCs w:val="20"/>
        </w:rPr>
        <w:t xml:space="preserve"> plán pro </w:t>
      </w:r>
      <w:r>
        <w:rPr>
          <w:sz w:val="20"/>
          <w:szCs w:val="20"/>
        </w:rPr>
        <w:t xml:space="preserve">normalizaci pro </w:t>
      </w:r>
      <w:r w:rsidRPr="00A6277D">
        <w:rPr>
          <w:sz w:val="20"/>
          <w:szCs w:val="20"/>
        </w:rPr>
        <w:t>informační a komunikační technologie</w:t>
      </w:r>
      <w:r>
        <w:rPr>
          <w:sz w:val="20"/>
          <w:szCs w:val="20"/>
        </w:rPr>
        <w:t>;</w:t>
      </w:r>
      <w:r w:rsidRPr="00663B67">
        <w:rPr>
          <w:sz w:val="20"/>
          <w:szCs w:val="20"/>
        </w:rPr>
        <w:t xml:space="preserve"> </w:t>
      </w:r>
      <w:r w:rsidRPr="00A6277D">
        <w:rPr>
          <w:sz w:val="20"/>
          <w:szCs w:val="20"/>
        </w:rPr>
        <w:t>Digitální agenda pro Evropu;</w:t>
      </w:r>
      <w:r w:rsidRPr="00663B67">
        <w:rPr>
          <w:sz w:val="20"/>
          <w:szCs w:val="20"/>
        </w:rPr>
        <w:t xml:space="preserve"> </w:t>
      </w:r>
      <w:r w:rsidRPr="00994806">
        <w:rPr>
          <w:sz w:val="20"/>
          <w:szCs w:val="20"/>
        </w:rPr>
        <w:t xml:space="preserve">Program </w:t>
      </w:r>
      <w:r>
        <w:rPr>
          <w:sz w:val="20"/>
          <w:szCs w:val="20"/>
        </w:rPr>
        <w:t xml:space="preserve">EU </w:t>
      </w:r>
      <w:r w:rsidRPr="00994806">
        <w:rPr>
          <w:sz w:val="20"/>
          <w:szCs w:val="20"/>
        </w:rPr>
        <w:t>pro spotřebitele 2020 (cíle:</w:t>
      </w:r>
      <w:r>
        <w:rPr>
          <w:sz w:val="20"/>
          <w:szCs w:val="20"/>
        </w:rPr>
        <w:t xml:space="preserve"> </w:t>
      </w:r>
      <w:r w:rsidRPr="00994806">
        <w:rPr>
          <w:sz w:val="20"/>
          <w:szCs w:val="20"/>
        </w:rPr>
        <w:t>zlepšení bezpečnosti spotřebitelů; zlepšování provádění; posílení prosazování a</w:t>
      </w:r>
      <w:r>
        <w:rPr>
          <w:sz w:val="20"/>
          <w:szCs w:val="20"/>
        </w:rPr>
        <w:t xml:space="preserve"> </w:t>
      </w:r>
      <w:r w:rsidRPr="00994806">
        <w:rPr>
          <w:sz w:val="20"/>
          <w:szCs w:val="20"/>
        </w:rPr>
        <w:t>zajištění nápravy);</w:t>
      </w:r>
      <w:r w:rsidRPr="00663B67">
        <w:rPr>
          <w:sz w:val="20"/>
          <w:szCs w:val="20"/>
        </w:rPr>
        <w:t xml:space="preserve"> </w:t>
      </w:r>
      <w:r>
        <w:rPr>
          <w:sz w:val="20"/>
          <w:szCs w:val="20"/>
        </w:rPr>
        <w:t>Evropská strategie pro zdravotně postižené 2010-2020 (oblast činnosti: přís</w:t>
      </w:r>
      <w:r w:rsidRPr="00A6277D">
        <w:rPr>
          <w:sz w:val="20"/>
          <w:szCs w:val="20"/>
        </w:rPr>
        <w:t xml:space="preserve">tupnost); Směrnice o nízkém napětí (2006/95 / ES); </w:t>
      </w:r>
      <w:r>
        <w:rPr>
          <w:sz w:val="20"/>
          <w:szCs w:val="20"/>
        </w:rPr>
        <w:t>Směrnice pro v</w:t>
      </w:r>
      <w:r w:rsidRPr="00A6277D">
        <w:rPr>
          <w:sz w:val="20"/>
          <w:szCs w:val="20"/>
        </w:rPr>
        <w:t>ýtahy (95/16 / EC).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>Popis práce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Akt k b</w:t>
      </w:r>
      <w:r w:rsidRPr="00663B67">
        <w:rPr>
          <w:sz w:val="20"/>
          <w:szCs w:val="20"/>
        </w:rPr>
        <w:t>udoucí evropsk</w:t>
      </w:r>
      <w:r>
        <w:rPr>
          <w:sz w:val="20"/>
          <w:szCs w:val="20"/>
        </w:rPr>
        <w:t>é</w:t>
      </w:r>
      <w:r w:rsidRPr="00663B67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663B67">
        <w:rPr>
          <w:sz w:val="20"/>
          <w:szCs w:val="20"/>
        </w:rPr>
        <w:t>řístupnost</w:t>
      </w:r>
      <w:r>
        <w:rPr>
          <w:sz w:val="20"/>
          <w:szCs w:val="20"/>
        </w:rPr>
        <w:t>i</w:t>
      </w:r>
      <w:r w:rsidRPr="00663B67">
        <w:rPr>
          <w:sz w:val="20"/>
          <w:szCs w:val="20"/>
        </w:rPr>
        <w:t xml:space="preserve"> - vliv </w:t>
      </w:r>
      <w:r>
        <w:rPr>
          <w:sz w:val="20"/>
          <w:szCs w:val="20"/>
        </w:rPr>
        <w:t xml:space="preserve">na </w:t>
      </w:r>
      <w:r w:rsidRPr="00663B67">
        <w:rPr>
          <w:sz w:val="20"/>
          <w:szCs w:val="20"/>
        </w:rPr>
        <w:t xml:space="preserve">vypracování </w:t>
      </w:r>
      <w:r>
        <w:rPr>
          <w:sz w:val="20"/>
          <w:szCs w:val="20"/>
        </w:rPr>
        <w:t>dokumentu</w:t>
      </w:r>
      <w:r w:rsidRPr="00663B67">
        <w:rPr>
          <w:sz w:val="20"/>
          <w:szCs w:val="20"/>
        </w:rPr>
        <w:t xml:space="preserve"> se speciálním zaměřením</w:t>
      </w:r>
      <w:r>
        <w:rPr>
          <w:sz w:val="20"/>
          <w:szCs w:val="20"/>
        </w:rPr>
        <w:t xml:space="preserve"> na</w:t>
      </w:r>
      <w:r w:rsidRPr="00663B67">
        <w:rPr>
          <w:sz w:val="20"/>
          <w:szCs w:val="20"/>
        </w:rPr>
        <w:t xml:space="preserve"> používání norem pro doplnění legislativy.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>Horizontální přístup k přístupnosti v</w:t>
      </w:r>
      <w:r>
        <w:rPr>
          <w:sz w:val="20"/>
          <w:szCs w:val="20"/>
        </w:rPr>
        <w:t>e</w:t>
      </w:r>
      <w:r w:rsidRPr="00663B67">
        <w:rPr>
          <w:sz w:val="20"/>
          <w:szCs w:val="20"/>
        </w:rPr>
        <w:t xml:space="preserve"> standardizaci - účast </w:t>
      </w:r>
      <w:r>
        <w:rPr>
          <w:sz w:val="20"/>
          <w:szCs w:val="20"/>
        </w:rPr>
        <w:t>v CEN</w:t>
      </w:r>
      <w:r w:rsidRPr="00663B67">
        <w:rPr>
          <w:sz w:val="20"/>
          <w:szCs w:val="20"/>
        </w:rPr>
        <w:t>-CENELEC BT WG 213 "Strategick</w:t>
      </w:r>
      <w:r>
        <w:rPr>
          <w:sz w:val="20"/>
          <w:szCs w:val="20"/>
        </w:rPr>
        <w:t>á</w:t>
      </w:r>
      <w:r w:rsidRPr="00663B67">
        <w:rPr>
          <w:sz w:val="20"/>
          <w:szCs w:val="20"/>
        </w:rPr>
        <w:t xml:space="preserve"> poradní skupina o přístupnosti"; Účast v</w:t>
      </w:r>
      <w:r>
        <w:rPr>
          <w:sz w:val="20"/>
          <w:szCs w:val="20"/>
        </w:rPr>
        <w:t xml:space="preserve"> CEN </w:t>
      </w:r>
      <w:r w:rsidRPr="00663B67">
        <w:rPr>
          <w:sz w:val="20"/>
          <w:szCs w:val="20"/>
        </w:rPr>
        <w:t>CENELEC JWG 5 (Mandát M / 473); Účast v ISO TAG související s používáním revidovaného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 xml:space="preserve">ISO / IEC 71 (CEN / CENELEC Guide 6), na přístupnost </w:t>
      </w:r>
      <w:r>
        <w:rPr>
          <w:sz w:val="20"/>
          <w:szCs w:val="20"/>
        </w:rPr>
        <w:t>v</w:t>
      </w:r>
      <w:r w:rsidRPr="00663B67">
        <w:rPr>
          <w:sz w:val="20"/>
          <w:szCs w:val="20"/>
        </w:rPr>
        <w:t xml:space="preserve"> nor</w:t>
      </w:r>
      <w:r>
        <w:rPr>
          <w:sz w:val="20"/>
          <w:szCs w:val="20"/>
        </w:rPr>
        <w:t>mách</w:t>
      </w:r>
      <w:r w:rsidRPr="00663B67">
        <w:rPr>
          <w:sz w:val="20"/>
          <w:szCs w:val="20"/>
        </w:rPr>
        <w:t>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 xml:space="preserve">Bezpečnost a </w:t>
      </w:r>
      <w:r>
        <w:rPr>
          <w:sz w:val="20"/>
          <w:szCs w:val="20"/>
        </w:rPr>
        <w:t>využití</w:t>
      </w:r>
      <w:r w:rsidRPr="00663B67">
        <w:rPr>
          <w:sz w:val="20"/>
          <w:szCs w:val="20"/>
        </w:rPr>
        <w:t xml:space="preserve"> elektrických zařízení </w:t>
      </w:r>
      <w:r>
        <w:rPr>
          <w:sz w:val="20"/>
          <w:szCs w:val="20"/>
        </w:rPr>
        <w:t xml:space="preserve">pro </w:t>
      </w:r>
      <w:r w:rsidRPr="00663B67">
        <w:rPr>
          <w:sz w:val="20"/>
          <w:szCs w:val="20"/>
        </w:rPr>
        <w:t>domácnost pro všechny zranitelné</w:t>
      </w:r>
      <w:r>
        <w:rPr>
          <w:sz w:val="20"/>
          <w:szCs w:val="20"/>
        </w:rPr>
        <w:t xml:space="preserve"> spotřebitelé - </w:t>
      </w:r>
      <w:r w:rsidRPr="00663B67">
        <w:rPr>
          <w:sz w:val="20"/>
          <w:szCs w:val="20"/>
        </w:rPr>
        <w:t>účast v CENELEC / TC 61 / WG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>4 (s použitím výsledků technických studií ANEC); Účast v IEC / TC 61 a její MT 4;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 xml:space="preserve">Podle potřeby </w:t>
      </w:r>
      <w:r>
        <w:rPr>
          <w:sz w:val="20"/>
          <w:szCs w:val="20"/>
        </w:rPr>
        <w:t xml:space="preserve">byla zajištěna </w:t>
      </w:r>
      <w:r w:rsidRPr="00663B67">
        <w:rPr>
          <w:sz w:val="20"/>
          <w:szCs w:val="20"/>
        </w:rPr>
        <w:t>účast v dalších evropských a mezinárodních fórech.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>Přístupnost a využitelnost zastavěného prostředí - účast na ISO / TC 59 / SC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>16; Účast v CEN-CLC JWG (Mandát M / 420).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>Asistenční výrobky pro osoby se zdravotním po</w:t>
      </w:r>
      <w:r>
        <w:rPr>
          <w:sz w:val="20"/>
          <w:szCs w:val="20"/>
        </w:rPr>
        <w:t xml:space="preserve">stižením - účast v CEN / TC 293. </w:t>
      </w:r>
      <w:r w:rsidRPr="00663B67">
        <w:rPr>
          <w:sz w:val="20"/>
          <w:szCs w:val="20"/>
        </w:rPr>
        <w:t>Účast v CENELEC / TC 62; Monitorování ISO / TC 173.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Výtahy</w:t>
      </w:r>
      <w:r w:rsidRPr="00663B67">
        <w:rPr>
          <w:sz w:val="20"/>
          <w:szCs w:val="20"/>
        </w:rPr>
        <w:t xml:space="preserve"> - účast na CEN / TC 10 a </w:t>
      </w:r>
      <w:r>
        <w:rPr>
          <w:sz w:val="20"/>
          <w:szCs w:val="20"/>
        </w:rPr>
        <w:t xml:space="preserve"> v </w:t>
      </w:r>
      <w:r w:rsidRPr="00663B67">
        <w:rPr>
          <w:sz w:val="20"/>
          <w:szCs w:val="20"/>
        </w:rPr>
        <w:t>jejích technických orgán</w:t>
      </w:r>
      <w:r>
        <w:rPr>
          <w:sz w:val="20"/>
          <w:szCs w:val="20"/>
        </w:rPr>
        <w:t>ech</w:t>
      </w:r>
      <w:r w:rsidRPr="00663B67">
        <w:rPr>
          <w:sz w:val="20"/>
          <w:szCs w:val="20"/>
        </w:rPr>
        <w:t>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>Ergonomie - účast v CEN / TC 122; monitorování ISO / TC 159.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 xml:space="preserve">Dostupnost služeb </w:t>
      </w:r>
      <w:r>
        <w:rPr>
          <w:sz w:val="20"/>
          <w:szCs w:val="20"/>
        </w:rPr>
        <w:t>- ú</w:t>
      </w:r>
      <w:r w:rsidRPr="00663B67">
        <w:rPr>
          <w:sz w:val="20"/>
          <w:szCs w:val="20"/>
        </w:rPr>
        <w:t>čast v CEN / TC 431;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>přispív</w:t>
      </w:r>
      <w:r>
        <w:rPr>
          <w:sz w:val="20"/>
          <w:szCs w:val="20"/>
        </w:rPr>
        <w:t>ání</w:t>
      </w:r>
      <w:r w:rsidRPr="00663B67">
        <w:rPr>
          <w:sz w:val="20"/>
          <w:szCs w:val="20"/>
        </w:rPr>
        <w:t xml:space="preserve"> k opatřením EK po ukončení veřejné konzultace o zelené knize o bezpečnosti</w:t>
      </w:r>
      <w:r>
        <w:rPr>
          <w:sz w:val="20"/>
          <w:szCs w:val="20"/>
        </w:rPr>
        <w:t xml:space="preserve"> – </w:t>
      </w:r>
      <w:r w:rsidRPr="00663B67">
        <w:rPr>
          <w:sz w:val="20"/>
          <w:szCs w:val="20"/>
        </w:rPr>
        <w:t>Turisti</w:t>
      </w:r>
      <w:r>
        <w:rPr>
          <w:sz w:val="20"/>
          <w:szCs w:val="20"/>
        </w:rPr>
        <w:t>c</w:t>
      </w:r>
      <w:r w:rsidRPr="00663B67">
        <w:rPr>
          <w:sz w:val="20"/>
          <w:szCs w:val="20"/>
        </w:rPr>
        <w:t>k</w:t>
      </w:r>
      <w:r>
        <w:rPr>
          <w:sz w:val="20"/>
          <w:szCs w:val="20"/>
        </w:rPr>
        <w:t>é ubytování</w:t>
      </w:r>
      <w:r w:rsidRPr="00663B67">
        <w:rPr>
          <w:sz w:val="20"/>
          <w:szCs w:val="20"/>
        </w:rPr>
        <w:t>.</w:t>
      </w:r>
    </w:p>
    <w:p w:rsidR="008D516D" w:rsidRPr="00663B67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 xml:space="preserve">Web &amp; legislativa přístupnosti elektronických technologií - návrh </w:t>
      </w:r>
      <w:r>
        <w:rPr>
          <w:sz w:val="20"/>
          <w:szCs w:val="20"/>
        </w:rPr>
        <w:t>ke</w:t>
      </w:r>
      <w:r w:rsidRPr="00663B67">
        <w:rPr>
          <w:sz w:val="20"/>
          <w:szCs w:val="20"/>
        </w:rPr>
        <w:t xml:space="preserve"> směrnice o přístupnosti</w:t>
      </w:r>
      <w:r>
        <w:rPr>
          <w:sz w:val="20"/>
          <w:szCs w:val="20"/>
        </w:rPr>
        <w:t xml:space="preserve"> </w:t>
      </w:r>
      <w:r w:rsidRPr="00663B67">
        <w:rPr>
          <w:sz w:val="20"/>
          <w:szCs w:val="20"/>
        </w:rPr>
        <w:t xml:space="preserve">webových stránek veřejného sektoru, zejména v </w:t>
      </w:r>
      <w:r>
        <w:rPr>
          <w:sz w:val="20"/>
          <w:szCs w:val="20"/>
        </w:rPr>
        <w:t>souvislosti s používáním norem</w:t>
      </w:r>
      <w:r w:rsidRPr="00663B67">
        <w:rPr>
          <w:sz w:val="20"/>
          <w:szCs w:val="20"/>
        </w:rPr>
        <w:t>.</w:t>
      </w:r>
    </w:p>
    <w:p w:rsidR="008D516D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63B67">
        <w:rPr>
          <w:sz w:val="20"/>
          <w:szCs w:val="20"/>
        </w:rPr>
        <w:t xml:space="preserve">Přístupnost elektronických komunikací - účast v ETSI </w:t>
      </w:r>
      <w:r>
        <w:rPr>
          <w:sz w:val="20"/>
          <w:szCs w:val="20"/>
        </w:rPr>
        <w:t xml:space="preserve">– technický výbor pro </w:t>
      </w:r>
      <w:r w:rsidRPr="00663B67">
        <w:rPr>
          <w:sz w:val="20"/>
          <w:szCs w:val="20"/>
        </w:rPr>
        <w:t>lidský faktor; přispě</w:t>
      </w:r>
      <w:r>
        <w:rPr>
          <w:sz w:val="20"/>
          <w:szCs w:val="20"/>
        </w:rPr>
        <w:t>ní</w:t>
      </w:r>
      <w:r w:rsidRPr="00663B67">
        <w:rPr>
          <w:sz w:val="20"/>
          <w:szCs w:val="20"/>
        </w:rPr>
        <w:t xml:space="preserve"> k revizi normy EN 301 549 (pověření M / 376) (s ICT WG).</w:t>
      </w:r>
    </w:p>
    <w:p w:rsidR="008D516D" w:rsidRDefault="008D516D" w:rsidP="008D516D">
      <w:pPr>
        <w:pStyle w:val="Odstavecseseznamem"/>
        <w:spacing w:after="120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Příklady:</w:t>
      </w:r>
    </w:p>
    <w:p w:rsidR="008D516D" w:rsidRPr="006A7214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Vznikne nová norma „Design for All" - </w:t>
      </w:r>
      <w:r w:rsidRPr="006A7214">
        <w:rPr>
          <w:sz w:val="20"/>
          <w:szCs w:val="20"/>
        </w:rPr>
        <w:t>Spotřebitelé prostřednictvím ANEC předložili připomínky v souvislosti s „Analýzou hlavních oblastí a stanovení priorit práce v procesu normalizace ve vztahu k potřebám osob se zdravotním postižením a starších osob", sestavené na základě mandátu M / 473 "Design pro všechny ". Tato analýza se zaměřuje na mapování bariér s prokázanými problémy v oblasti dostupnosti. Právě problémy v oblasti přístupnosti prostředí, informačních, komunikačních technologií a dopravy byly identifikovány jako problematické pro spotřebitele, jakož i problémy spojené s pokyny, označováním, se samoobslužnými terminály a obaly. Spotřebitelé poukazují na to, že provedená analýza je velice rozsáhlá, nicméně předložili řadu podrobných komentářů a vyjádřili určité obavy. Například nejsou vyhodnoceny náklady a přínosy ve vztahu k průmyslu, což ale mandát vyžaduje. Dokument rovněž nezohledňuje současný technologický rozvoj, jako jsou například mobilní zařízení, e-platby apod.</w:t>
      </w:r>
    </w:p>
    <w:p w:rsidR="008D516D" w:rsidRPr="006A7214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lastRenderedPageBreak/>
        <w:t xml:space="preserve">Prevence zneužívání starších osob - můžou normy pomoct? - </w:t>
      </w:r>
      <w:r w:rsidRPr="006A7214">
        <w:rPr>
          <w:sz w:val="20"/>
          <w:szCs w:val="20"/>
        </w:rPr>
        <w:t>Zástupce ANEC hovořil o normách na ochranu zranitelných spotřebitelů na akci, kterou pořádala Evropská komise, AGE Platform Europe, Rada Evropy a Evropská síť národních institutů pro lidská práva (ENNHRI). Na 15. červen připadá Světový den zvyšování povědomí o zneužívání starších lidí a proběhlo již 10. výročí. Během panelové diskuse na téma "Starší lidé jako držitelé práv a spotřebitele" se ANEC zaměřil na paralely mezi právem spotřebitele, základními právy, se zaměřením se na právo na bezpečnost a na ochranu osobních údajů. Využití kamer a dalších technologií dozoru v oblasti péče je stále více používáno pro odhalování případů zneužití. Nicméně i tento dozor může být vnímán jako narušování osobní svobody a je důležité toto ošetřit. V závěru bylo shrnuto, že normy mohou v této oblasti významně pomoci.</w:t>
      </w:r>
    </w:p>
    <w:p w:rsidR="008D516D" w:rsidRPr="006A7214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Přístupnost výtahů pro osoby se zrakovým postižením - </w:t>
      </w:r>
      <w:r w:rsidRPr="006A7214">
        <w:rPr>
          <w:sz w:val="20"/>
          <w:szCs w:val="20"/>
        </w:rPr>
        <w:t>Evropská unie nevidomých (EBU) uspořádala v červnu 2015 svůj první e-workshop na téma "Zpřístupnění výtahů - aktuální stav a další kroky ve vztahu k použitelnosti pro osoby se zrakovým postižením". Zástupce ANEC představil právní rámec týkající se přístupnosti prostředí a proces normalizace na mezinárodní a evropské úrovni. Norma EN 81-70 Výtahy pro osoby, včetně těch se zdravotním postižením, podléhá právě revizi a ANEC získal zvláštní uznání za jeho příspěvek k procesu během e-workshopu. Toto setkání bylo zorganizováno s cílem poskytnout pro účastníky příležitost k výměně informací a prodiskutovat obtíže při používání výtahů, s nimiž se setkávají osoby se zrakovým postižením.</w:t>
      </w:r>
    </w:p>
    <w:p w:rsidR="008D516D" w:rsidRPr="006A7214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„Definice“ zranitelného spotřebitele </w:t>
      </w:r>
      <w:r w:rsidRPr="006A7214">
        <w:rPr>
          <w:sz w:val="20"/>
          <w:szCs w:val="20"/>
        </w:rPr>
        <w:t xml:space="preserve">„Zvláště“ zranitelný spotřebitel je důležitou cílovou skupinou SČS i Kabinetu, obecně, i v normalizačních aktivitách. Neexistuje však pevné evropské legislativní vymezení pojmu </w:t>
      </w:r>
      <w:r w:rsidRPr="006A7214">
        <w:rPr>
          <w:b/>
          <w:sz w:val="20"/>
          <w:szCs w:val="20"/>
        </w:rPr>
        <w:t xml:space="preserve">zranitelný spotřebitel. </w:t>
      </w:r>
      <w:r w:rsidRPr="006A7214">
        <w:rPr>
          <w:sz w:val="20"/>
          <w:szCs w:val="20"/>
        </w:rPr>
        <w:t xml:space="preserve">SČS se proto (v rámci projektu dotovaného MPSV) ujalo úkolu připravit publikaci, která analyzuje dostupné normativní dokumenty a vydalo ji pod názvem </w:t>
      </w:r>
      <w:r w:rsidRPr="006A7214">
        <w:rPr>
          <w:b/>
          <w:sz w:val="20"/>
          <w:szCs w:val="20"/>
        </w:rPr>
        <w:t>Zranitelný spotřebitel</w:t>
      </w:r>
      <w:r w:rsidRPr="006A7214">
        <w:rPr>
          <w:sz w:val="20"/>
          <w:szCs w:val="20"/>
        </w:rPr>
        <w:t xml:space="preserve">, </w:t>
      </w:r>
      <w:r w:rsidRPr="006A7214">
        <w:rPr>
          <w:b/>
          <w:sz w:val="20"/>
          <w:szCs w:val="20"/>
        </w:rPr>
        <w:t xml:space="preserve">kdo to je, jak ho chránit? </w:t>
      </w:r>
      <w:r w:rsidRPr="006A7214">
        <w:rPr>
          <w:sz w:val="20"/>
          <w:szCs w:val="20"/>
        </w:rPr>
        <w:t xml:space="preserve">– viz </w:t>
      </w:r>
      <w:hyperlink r:id="rId9" w:history="1">
        <w:r>
          <w:rPr>
            <w:rStyle w:val="Hypertextovodkaz"/>
            <w:sz w:val="20"/>
            <w:szCs w:val="20"/>
          </w:rPr>
          <w:t>Zde</w:t>
        </w:r>
      </w:hyperlink>
      <w:r w:rsidRPr="006A7214">
        <w:rPr>
          <w:sz w:val="20"/>
          <w:szCs w:val="20"/>
        </w:rPr>
        <w:t>.</w:t>
      </w:r>
    </w:p>
    <w:p w:rsidR="008D516D" w:rsidRPr="008D516D" w:rsidRDefault="008D516D" w:rsidP="008D516D">
      <w:pPr>
        <w:spacing w:after="120"/>
        <w:jc w:val="both"/>
        <w:rPr>
          <w:sz w:val="20"/>
        </w:rPr>
      </w:pPr>
      <w:r w:rsidRPr="008D516D">
        <w:rPr>
          <w:b/>
          <w:sz w:val="20"/>
        </w:rPr>
        <w:t xml:space="preserve">Nový web pro seniory </w:t>
      </w:r>
      <w:r w:rsidRPr="008D516D">
        <w:rPr>
          <w:sz w:val="20"/>
        </w:rPr>
        <w:t xml:space="preserve">Pro potřeby seniorů, skupiny zvláště zranitelných spotřebitelů, otevřelo SČS v závěru roku 2015 nový portál Senior ombudsman  ( </w:t>
      </w:r>
      <w:hyperlink r:id="rId10" w:history="1">
        <w:r w:rsidRPr="008D516D">
          <w:rPr>
            <w:rStyle w:val="Hypertextovodkaz"/>
            <w:sz w:val="20"/>
          </w:rPr>
          <w:t>http://www.seniorombudsman.cz/</w:t>
        </w:r>
      </w:hyperlink>
      <w:r w:rsidRPr="008D516D">
        <w:rPr>
          <w:sz w:val="20"/>
        </w:rPr>
        <w:t>). Byl připraven s podporou MPSV. I když je zaměřen prioritně na ochranu seniorů při dosahování práva ve spotřebitelských oblastech, bude nepochybně využit pro normalizační aktivity SČS a Kabinetu se zaměřením na seniory.</w:t>
      </w:r>
    </w:p>
    <w:p w:rsidR="00BB07A6" w:rsidRPr="008D516D" w:rsidRDefault="00BB07A6" w:rsidP="008D516D">
      <w:pPr>
        <w:spacing w:after="120"/>
        <w:jc w:val="both"/>
        <w:rPr>
          <w:b/>
          <w:sz w:val="20"/>
        </w:rPr>
      </w:pPr>
    </w:p>
    <w:p w:rsidR="00C62AAE" w:rsidRPr="008D516D" w:rsidRDefault="008D516D" w:rsidP="008D516D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8D516D">
        <w:rPr>
          <w:sz w:val="20"/>
          <w:szCs w:val="20"/>
        </w:rPr>
        <w:t>Prosinec 2015, Dupal</w:t>
      </w:r>
      <w:r w:rsidR="00BB07A6" w:rsidRPr="008D516D">
        <w:rPr>
          <w:sz w:val="20"/>
          <w:szCs w:val="20"/>
        </w:rPr>
        <w:tab/>
      </w:r>
    </w:p>
    <w:sectPr w:rsidR="00C62AAE" w:rsidRPr="008D516D" w:rsidSect="00CA4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A3" w:rsidRDefault="00D626A3">
      <w:r>
        <w:separator/>
      </w:r>
    </w:p>
  </w:endnote>
  <w:endnote w:type="continuationSeparator" w:id="0">
    <w:p w:rsidR="00D626A3" w:rsidRDefault="00D6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2F77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D626A3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www.konzument.cz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A3" w:rsidRDefault="00D626A3">
      <w:r>
        <w:separator/>
      </w:r>
    </w:p>
  </w:footnote>
  <w:footnote w:type="continuationSeparator" w:id="0">
    <w:p w:rsidR="00D626A3" w:rsidRDefault="00D6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"/>
  </w:num>
  <w:num w:numId="5">
    <w:abstractNumId w:val="19"/>
  </w:num>
  <w:num w:numId="6">
    <w:abstractNumId w:val="15"/>
  </w:num>
  <w:num w:numId="7">
    <w:abstractNumId w:val="7"/>
  </w:num>
  <w:num w:numId="8">
    <w:abstractNumId w:val="27"/>
  </w:num>
  <w:num w:numId="9">
    <w:abstractNumId w:val="25"/>
  </w:num>
  <w:num w:numId="10">
    <w:abstractNumId w:val="4"/>
  </w:num>
  <w:num w:numId="11">
    <w:abstractNumId w:val="18"/>
  </w:num>
  <w:num w:numId="12">
    <w:abstractNumId w:val="14"/>
  </w:num>
  <w:num w:numId="13">
    <w:abstractNumId w:val="22"/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24"/>
  </w:num>
  <w:num w:numId="19">
    <w:abstractNumId w:val="20"/>
  </w:num>
  <w:num w:numId="20">
    <w:abstractNumId w:val="8"/>
  </w:num>
  <w:num w:numId="21">
    <w:abstractNumId w:val="10"/>
  </w:num>
  <w:num w:numId="22">
    <w:abstractNumId w:val="21"/>
  </w:num>
  <w:num w:numId="23">
    <w:abstractNumId w:val="17"/>
  </w:num>
  <w:num w:numId="24">
    <w:abstractNumId w:val="26"/>
  </w:num>
  <w:num w:numId="25">
    <w:abstractNumId w:val="2"/>
  </w:num>
  <w:num w:numId="26">
    <w:abstractNumId w:val="6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116459"/>
    <w:rsid w:val="001166A4"/>
    <w:rsid w:val="00141082"/>
    <w:rsid w:val="001B0E0F"/>
    <w:rsid w:val="001D1BC9"/>
    <w:rsid w:val="00250C93"/>
    <w:rsid w:val="00277C59"/>
    <w:rsid w:val="00280435"/>
    <w:rsid w:val="00285249"/>
    <w:rsid w:val="002C3C7F"/>
    <w:rsid w:val="002D094E"/>
    <w:rsid w:val="00326DCA"/>
    <w:rsid w:val="0033327E"/>
    <w:rsid w:val="00333B8E"/>
    <w:rsid w:val="00343356"/>
    <w:rsid w:val="00363535"/>
    <w:rsid w:val="003A7D01"/>
    <w:rsid w:val="004179B6"/>
    <w:rsid w:val="00491EFD"/>
    <w:rsid w:val="004C7619"/>
    <w:rsid w:val="00503D33"/>
    <w:rsid w:val="005332C0"/>
    <w:rsid w:val="00544A87"/>
    <w:rsid w:val="00596128"/>
    <w:rsid w:val="005979AF"/>
    <w:rsid w:val="005B2F69"/>
    <w:rsid w:val="005F40F3"/>
    <w:rsid w:val="0060473E"/>
    <w:rsid w:val="00662932"/>
    <w:rsid w:val="00664BF3"/>
    <w:rsid w:val="00687028"/>
    <w:rsid w:val="007E29FE"/>
    <w:rsid w:val="00815610"/>
    <w:rsid w:val="00876265"/>
    <w:rsid w:val="0089064E"/>
    <w:rsid w:val="008A3042"/>
    <w:rsid w:val="008D516D"/>
    <w:rsid w:val="009360CB"/>
    <w:rsid w:val="00997132"/>
    <w:rsid w:val="009C2F19"/>
    <w:rsid w:val="009D73EA"/>
    <w:rsid w:val="009F417D"/>
    <w:rsid w:val="00A102A2"/>
    <w:rsid w:val="00A50D21"/>
    <w:rsid w:val="00A56614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62AAE"/>
    <w:rsid w:val="00C74594"/>
    <w:rsid w:val="00C779CB"/>
    <w:rsid w:val="00CA4A78"/>
    <w:rsid w:val="00CE30FE"/>
    <w:rsid w:val="00CF463C"/>
    <w:rsid w:val="00D2042B"/>
    <w:rsid w:val="00D211DE"/>
    <w:rsid w:val="00D27474"/>
    <w:rsid w:val="00D626A3"/>
    <w:rsid w:val="00D963D1"/>
    <w:rsid w:val="00DB2F77"/>
    <w:rsid w:val="00DE34F8"/>
    <w:rsid w:val="00E05348"/>
    <w:rsid w:val="00E41C48"/>
    <w:rsid w:val="00E47C33"/>
    <w:rsid w:val="00E6069E"/>
    <w:rsid w:val="00F04533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eniorombudsma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zument.cz/users/publications/10-top-normy/194-zranitelny-spotrebitel-kdo-to-je-jak-ho-chranit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5941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5</cp:revision>
  <cp:lastPrinted>2003-01-13T05:58:00Z</cp:lastPrinted>
  <dcterms:created xsi:type="dcterms:W3CDTF">2016-02-09T11:38:00Z</dcterms:created>
  <dcterms:modified xsi:type="dcterms:W3CDTF">2016-02-09T11:46:00Z</dcterms:modified>
</cp:coreProperties>
</file>