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BB" w:rsidRDefault="006E2F76" w:rsidP="000E330A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12B61">
        <w:rPr>
          <w:sz w:val="22"/>
          <w:szCs w:val="22"/>
        </w:rPr>
        <w:t xml:space="preserve">0 Normalizace </w:t>
      </w:r>
      <w:r w:rsidR="00790BA3">
        <w:rPr>
          <w:sz w:val="22"/>
          <w:szCs w:val="22"/>
        </w:rPr>
        <w:t>služby I</w:t>
      </w:r>
      <w:r>
        <w:rPr>
          <w:sz w:val="22"/>
          <w:szCs w:val="22"/>
        </w:rPr>
        <w:t>I</w:t>
      </w:r>
    </w:p>
    <w:p w:rsidR="00A8392D" w:rsidRDefault="006E2F76" w:rsidP="000E330A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53</w:t>
      </w:r>
      <w:r w:rsidR="00812B61">
        <w:rPr>
          <w:sz w:val="22"/>
          <w:szCs w:val="22"/>
        </w:rPr>
        <w:t xml:space="preserve"> </w:t>
      </w:r>
      <w:r>
        <w:rPr>
          <w:sz w:val="22"/>
          <w:szCs w:val="22"/>
        </w:rPr>
        <w:t>Dopravní</w:t>
      </w:r>
      <w:r w:rsidR="00790BA3">
        <w:rPr>
          <w:sz w:val="22"/>
          <w:szCs w:val="22"/>
        </w:rPr>
        <w:t xml:space="preserve"> služby</w:t>
      </w:r>
    </w:p>
    <w:p w:rsidR="00A8392D" w:rsidRDefault="00A8392D" w:rsidP="000E330A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Vývoj v roce 2015 (zpracováno s podporou </w:t>
      </w:r>
      <w:r w:rsidRPr="00A8392D">
        <w:rPr>
          <w:sz w:val="22"/>
          <w:szCs w:val="22"/>
        </w:rPr>
        <w:t>projektu FP švýcarsko-české spolupráce</w:t>
      </w:r>
      <w:r w:rsidR="00631BCE">
        <w:rPr>
          <w:sz w:val="22"/>
          <w:szCs w:val="22"/>
        </w:rPr>
        <w:t>)</w:t>
      </w:r>
    </w:p>
    <w:p w:rsidR="00A8392D" w:rsidRPr="009360CB" w:rsidRDefault="00A8392D" w:rsidP="000E330A">
      <w:pPr>
        <w:spacing w:before="240" w:after="120"/>
        <w:jc w:val="both"/>
        <w:rPr>
          <w:sz w:val="22"/>
          <w:szCs w:val="22"/>
        </w:rPr>
      </w:pPr>
      <w:r w:rsidRPr="006A7214">
        <w:rPr>
          <w:noProof/>
        </w:rPr>
        <w:drawing>
          <wp:inline distT="0" distB="0" distL="0" distR="0" wp14:anchorId="6968DF48" wp14:editId="774AC111">
            <wp:extent cx="1444448" cy="516368"/>
            <wp:effectExtent l="0" t="0" r="3810" b="0"/>
            <wp:docPr id="27652" name="obrázek 1" descr="SWISS_Cntrb_LOGO_M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obrázek 1" descr="SWISS_Cntrb_LOGO_MO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86" cy="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12B61" w:rsidRPr="00812B61" w:rsidRDefault="00812B61" w:rsidP="00812B61">
      <w:pPr>
        <w:spacing w:before="240" w:after="120"/>
        <w:jc w:val="both"/>
        <w:rPr>
          <w:b/>
          <w:sz w:val="22"/>
          <w:szCs w:val="22"/>
        </w:rPr>
      </w:pPr>
      <w:r w:rsidRPr="00812B61">
        <w:rPr>
          <w:b/>
          <w:sz w:val="22"/>
          <w:szCs w:val="22"/>
        </w:rPr>
        <w:t>Souhrn, příklady výstupů zapojení: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b/>
          <w:sz w:val="20"/>
          <w:szCs w:val="20"/>
        </w:rPr>
      </w:pPr>
      <w:r w:rsidRPr="005968DB">
        <w:rPr>
          <w:b/>
          <w:sz w:val="20"/>
          <w:szCs w:val="20"/>
        </w:rPr>
        <w:t>Souhrn, příklady výstupů zapojení: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F70DF8">
        <w:rPr>
          <w:sz w:val="20"/>
          <w:szCs w:val="20"/>
        </w:rPr>
        <w:t>Aktivita podporuje následující evropsk</w:t>
      </w:r>
      <w:r>
        <w:rPr>
          <w:sz w:val="20"/>
          <w:szCs w:val="20"/>
        </w:rPr>
        <w:t>é</w:t>
      </w:r>
      <w:r w:rsidRPr="00F70DF8">
        <w:rPr>
          <w:sz w:val="20"/>
          <w:szCs w:val="20"/>
        </w:rPr>
        <w:t xml:space="preserve"> politik</w:t>
      </w:r>
      <w:r>
        <w:rPr>
          <w:sz w:val="20"/>
          <w:szCs w:val="20"/>
        </w:rPr>
        <w:t>y</w:t>
      </w:r>
      <w:r w:rsidRPr="00F70DF8">
        <w:rPr>
          <w:sz w:val="20"/>
          <w:szCs w:val="20"/>
        </w:rPr>
        <w:t xml:space="preserve"> a právní předpis</w:t>
      </w:r>
      <w:r>
        <w:rPr>
          <w:sz w:val="20"/>
          <w:szCs w:val="20"/>
        </w:rPr>
        <w:t>y</w:t>
      </w:r>
      <w:r w:rsidRPr="00F70DF8">
        <w:rPr>
          <w:sz w:val="20"/>
          <w:szCs w:val="20"/>
        </w:rPr>
        <w:t xml:space="preserve">: </w:t>
      </w:r>
      <w:r w:rsidRPr="005968DB">
        <w:rPr>
          <w:sz w:val="20"/>
          <w:szCs w:val="20"/>
        </w:rPr>
        <w:t>pokyny pro bezpečnost silničního provozu EU na období 2011-2020; KOM (2010) 389 "Směrem k evropskému prostoru bezpečn</w:t>
      </w:r>
      <w:r>
        <w:rPr>
          <w:sz w:val="20"/>
          <w:szCs w:val="20"/>
        </w:rPr>
        <w:t>ého</w:t>
      </w:r>
      <w:r w:rsidRPr="005968DB">
        <w:rPr>
          <w:sz w:val="20"/>
          <w:szCs w:val="20"/>
        </w:rPr>
        <w:t xml:space="preserve"> silničního provozu: směry politiky v oblasti bezpečnosti silničního provozu v letech 2011-2020", Rezoluce Valného shromáždění OSN 64/255 o zlepšení bezpečnosti silničního provozu; Jednotná ustanovení pro schvalování typu zádržných zařízení pro děti cestující v motorových vozidlech (dětské zádržné systémy); </w:t>
      </w:r>
      <w:r w:rsidRPr="00F70DF8">
        <w:rPr>
          <w:sz w:val="20"/>
          <w:szCs w:val="20"/>
        </w:rPr>
        <w:t>Program EU pro spotřebitele 2020 (cíle:</w:t>
      </w:r>
      <w:r w:rsidRPr="001010D9">
        <w:rPr>
          <w:sz w:val="20"/>
          <w:szCs w:val="20"/>
        </w:rPr>
        <w:t xml:space="preserve"> </w:t>
      </w:r>
      <w:r w:rsidRPr="00F70DF8">
        <w:rPr>
          <w:sz w:val="20"/>
          <w:szCs w:val="20"/>
        </w:rPr>
        <w:t>zvýšení ochrany spotřebitele a bezpečnost</w:t>
      </w:r>
      <w:r>
        <w:rPr>
          <w:sz w:val="20"/>
          <w:szCs w:val="20"/>
        </w:rPr>
        <w:t xml:space="preserve">; </w:t>
      </w:r>
      <w:r w:rsidRPr="005968DB">
        <w:rPr>
          <w:sz w:val="20"/>
          <w:szCs w:val="20"/>
        </w:rPr>
        <w:t>Zpráva EP o bezpečnosti silničního provozu (2010/2235 (INI)); Směrnice obecné bezpečnosti výrobků (2001/95 / ES); Směrnice o strojních zařízeních (2006/42 / ES); Evropská iniciativa pro ekologické automobily.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>Popis práce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5968DB">
        <w:rPr>
          <w:sz w:val="20"/>
          <w:szCs w:val="20"/>
        </w:rPr>
        <w:t>ětsk</w:t>
      </w:r>
      <w:r>
        <w:rPr>
          <w:sz w:val="20"/>
          <w:szCs w:val="20"/>
        </w:rPr>
        <w:t>é</w:t>
      </w:r>
      <w:r w:rsidRPr="005968DB">
        <w:rPr>
          <w:sz w:val="20"/>
          <w:szCs w:val="20"/>
        </w:rPr>
        <w:t xml:space="preserve"> zádržn</w:t>
      </w:r>
      <w:r>
        <w:rPr>
          <w:sz w:val="20"/>
          <w:szCs w:val="20"/>
        </w:rPr>
        <w:t>é</w:t>
      </w:r>
      <w:r w:rsidRPr="005968DB">
        <w:rPr>
          <w:sz w:val="20"/>
          <w:szCs w:val="20"/>
        </w:rPr>
        <w:t xml:space="preserve"> systém</w:t>
      </w:r>
      <w:r>
        <w:rPr>
          <w:sz w:val="20"/>
          <w:szCs w:val="20"/>
        </w:rPr>
        <w:t>y</w:t>
      </w:r>
      <w:r w:rsidRPr="005968DB">
        <w:rPr>
          <w:sz w:val="20"/>
          <w:szCs w:val="20"/>
        </w:rPr>
        <w:t xml:space="preserve"> (CRS) </w:t>
      </w:r>
      <w:r>
        <w:rPr>
          <w:sz w:val="20"/>
          <w:szCs w:val="20"/>
        </w:rPr>
        <w:t>–</w:t>
      </w:r>
      <w:r w:rsidRPr="005968DB">
        <w:rPr>
          <w:sz w:val="20"/>
          <w:szCs w:val="20"/>
        </w:rPr>
        <w:t xml:space="preserve"> účast</w:t>
      </w:r>
      <w:r>
        <w:rPr>
          <w:sz w:val="20"/>
          <w:szCs w:val="20"/>
        </w:rPr>
        <w:t xml:space="preserve"> v</w:t>
      </w:r>
      <w:r w:rsidRPr="005968DB">
        <w:rPr>
          <w:sz w:val="20"/>
          <w:szCs w:val="20"/>
        </w:rPr>
        <w:t xml:space="preserve"> UNECE WP 29 na rozvoji dalších fází nařízení 129 (R129); pokyny pro spotřebitele v přechodné fázi z R44 až R129; podílet se na ISO / TC 22 / WG 12; koordinovat s ICRT na vývoj</w:t>
      </w:r>
      <w:r>
        <w:rPr>
          <w:sz w:val="20"/>
          <w:szCs w:val="20"/>
        </w:rPr>
        <w:t>i</w:t>
      </w:r>
      <w:r w:rsidRPr="005968DB">
        <w:rPr>
          <w:sz w:val="20"/>
          <w:szCs w:val="20"/>
        </w:rPr>
        <w:t xml:space="preserve"> testů, které mají </w:t>
      </w:r>
      <w:r>
        <w:rPr>
          <w:sz w:val="20"/>
          <w:szCs w:val="20"/>
        </w:rPr>
        <w:t>R129</w:t>
      </w:r>
      <w:r w:rsidRPr="005968DB">
        <w:rPr>
          <w:sz w:val="20"/>
          <w:szCs w:val="20"/>
        </w:rPr>
        <w:t>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 xml:space="preserve">Děti </w:t>
      </w:r>
      <w:r>
        <w:rPr>
          <w:sz w:val="20"/>
          <w:szCs w:val="20"/>
        </w:rPr>
        <w:t>ponechané</w:t>
      </w:r>
      <w:r w:rsidRPr="005968DB">
        <w:rPr>
          <w:sz w:val="20"/>
          <w:szCs w:val="20"/>
        </w:rPr>
        <w:t xml:space="preserve"> v autech - sledování </w:t>
      </w:r>
      <w:r>
        <w:rPr>
          <w:sz w:val="20"/>
          <w:szCs w:val="20"/>
        </w:rPr>
        <w:t>případů</w:t>
      </w:r>
      <w:r w:rsidRPr="005968DB">
        <w:rPr>
          <w:sz w:val="20"/>
          <w:szCs w:val="20"/>
        </w:rPr>
        <w:t xml:space="preserve"> na evropské úrovni a přispívat k rozvoji předp</w:t>
      </w:r>
      <w:r>
        <w:rPr>
          <w:sz w:val="20"/>
          <w:szCs w:val="20"/>
        </w:rPr>
        <w:t xml:space="preserve">isu EHK OSN 11 (R11) na detekčních </w:t>
      </w:r>
      <w:r w:rsidRPr="005968DB">
        <w:rPr>
          <w:sz w:val="20"/>
          <w:szCs w:val="20"/>
        </w:rPr>
        <w:t>systém</w:t>
      </w:r>
      <w:r>
        <w:rPr>
          <w:sz w:val="20"/>
          <w:szCs w:val="20"/>
        </w:rPr>
        <w:t>ech</w:t>
      </w:r>
      <w:r w:rsidRPr="005968DB">
        <w:rPr>
          <w:sz w:val="20"/>
          <w:szCs w:val="20"/>
        </w:rPr>
        <w:t>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 xml:space="preserve">Ochrana chodců </w:t>
      </w:r>
      <w:r>
        <w:rPr>
          <w:sz w:val="20"/>
          <w:szCs w:val="20"/>
        </w:rPr>
        <w:t>–</w:t>
      </w:r>
      <w:r w:rsidRPr="005968DB">
        <w:rPr>
          <w:sz w:val="20"/>
          <w:szCs w:val="20"/>
        </w:rPr>
        <w:t xml:space="preserve"> účast</w:t>
      </w:r>
      <w:r>
        <w:rPr>
          <w:sz w:val="20"/>
          <w:szCs w:val="20"/>
        </w:rPr>
        <w:t xml:space="preserve"> v</w:t>
      </w:r>
      <w:r w:rsidRPr="005968DB">
        <w:rPr>
          <w:sz w:val="20"/>
          <w:szCs w:val="20"/>
        </w:rPr>
        <w:t xml:space="preserve"> UNECE WP 29 a jejích orgán</w:t>
      </w:r>
      <w:r>
        <w:rPr>
          <w:sz w:val="20"/>
          <w:szCs w:val="20"/>
        </w:rPr>
        <w:t>ech</w:t>
      </w:r>
      <w:r w:rsidRPr="005968DB">
        <w:rPr>
          <w:sz w:val="20"/>
          <w:szCs w:val="20"/>
        </w:rPr>
        <w:t xml:space="preserve"> v rozvoji R127 </w:t>
      </w:r>
      <w:r>
        <w:rPr>
          <w:sz w:val="20"/>
          <w:szCs w:val="20"/>
        </w:rPr>
        <w:t>a</w:t>
      </w:r>
      <w:r w:rsidRPr="005968DB">
        <w:rPr>
          <w:sz w:val="20"/>
          <w:szCs w:val="20"/>
        </w:rPr>
        <w:t xml:space="preserve"> celosvětové</w:t>
      </w:r>
      <w:r>
        <w:rPr>
          <w:sz w:val="20"/>
          <w:szCs w:val="20"/>
        </w:rPr>
        <w:t>ho</w:t>
      </w:r>
      <w:r w:rsidRPr="005968DB">
        <w:rPr>
          <w:sz w:val="20"/>
          <w:szCs w:val="20"/>
        </w:rPr>
        <w:t xml:space="preserve"> nařízení o </w:t>
      </w:r>
      <w:r>
        <w:rPr>
          <w:sz w:val="20"/>
          <w:szCs w:val="20"/>
        </w:rPr>
        <w:t>na</w:t>
      </w:r>
      <w:r w:rsidRPr="005968DB">
        <w:rPr>
          <w:sz w:val="20"/>
          <w:szCs w:val="20"/>
        </w:rPr>
        <w:t xml:space="preserve"> testovací režim</w:t>
      </w:r>
      <w:r>
        <w:rPr>
          <w:sz w:val="20"/>
          <w:szCs w:val="20"/>
        </w:rPr>
        <w:t>y se</w:t>
      </w:r>
      <w:r w:rsidRPr="005968DB">
        <w:rPr>
          <w:sz w:val="20"/>
          <w:szCs w:val="20"/>
        </w:rPr>
        <w:t xml:space="preserve"> zaměř</w:t>
      </w:r>
      <w:r>
        <w:rPr>
          <w:sz w:val="20"/>
          <w:szCs w:val="20"/>
        </w:rPr>
        <w:t>ením</w:t>
      </w:r>
      <w:r w:rsidRPr="005968DB">
        <w:rPr>
          <w:sz w:val="20"/>
          <w:szCs w:val="20"/>
        </w:rPr>
        <w:t xml:space="preserve"> na lepší ochranu chodců v případě střetu s motorovým vozidlem.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Bicykly</w:t>
      </w:r>
      <w:r w:rsidRPr="005968D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5968DB">
        <w:rPr>
          <w:sz w:val="20"/>
          <w:szCs w:val="20"/>
        </w:rPr>
        <w:t xml:space="preserve"> </w:t>
      </w:r>
      <w:r>
        <w:rPr>
          <w:sz w:val="20"/>
          <w:szCs w:val="20"/>
        </w:rPr>
        <w:t>účast v CEN</w:t>
      </w:r>
      <w:r w:rsidRPr="005968DB">
        <w:rPr>
          <w:sz w:val="20"/>
          <w:szCs w:val="20"/>
        </w:rPr>
        <w:t xml:space="preserve">/ TC 333 a ISO / TC 149; použít výsledky technické studie ANEC na osvětlení a světelnou intenzitu ovlivnit revizi normy ISO 6742 </w:t>
      </w:r>
      <w:proofErr w:type="spellStart"/>
      <w:r w:rsidRPr="005968DB">
        <w:rPr>
          <w:sz w:val="20"/>
          <w:szCs w:val="20"/>
        </w:rPr>
        <w:t>series</w:t>
      </w:r>
      <w:proofErr w:type="spellEnd"/>
      <w:r w:rsidRPr="005968DB">
        <w:rPr>
          <w:sz w:val="20"/>
          <w:szCs w:val="20"/>
        </w:rPr>
        <w:t xml:space="preserve">; podílet se na </w:t>
      </w:r>
      <w:proofErr w:type="gramStart"/>
      <w:r w:rsidRPr="005968DB">
        <w:rPr>
          <w:sz w:val="20"/>
          <w:szCs w:val="20"/>
        </w:rPr>
        <w:t>CEN</w:t>
      </w:r>
      <w:proofErr w:type="gramEnd"/>
      <w:r w:rsidRPr="005968DB">
        <w:rPr>
          <w:sz w:val="20"/>
          <w:szCs w:val="20"/>
        </w:rPr>
        <w:t xml:space="preserve"> / TC 252 / WG 7 v revizi normy EN 14344.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>Elektricky poháněná kola (</w:t>
      </w:r>
      <w:proofErr w:type="spellStart"/>
      <w:r w:rsidRPr="005968DB">
        <w:rPr>
          <w:sz w:val="20"/>
          <w:szCs w:val="20"/>
        </w:rPr>
        <w:t>EPACs</w:t>
      </w:r>
      <w:proofErr w:type="spellEnd"/>
      <w:r w:rsidRPr="005968DB">
        <w:rPr>
          <w:sz w:val="20"/>
          <w:szCs w:val="20"/>
        </w:rPr>
        <w:t xml:space="preserve">) - podílet se na </w:t>
      </w:r>
      <w:proofErr w:type="gramStart"/>
      <w:r w:rsidRPr="005968DB">
        <w:rPr>
          <w:sz w:val="20"/>
          <w:szCs w:val="20"/>
        </w:rPr>
        <w:t>CEN</w:t>
      </w:r>
      <w:proofErr w:type="gramEnd"/>
      <w:r w:rsidRPr="005968DB">
        <w:rPr>
          <w:sz w:val="20"/>
          <w:szCs w:val="20"/>
        </w:rPr>
        <w:t xml:space="preserve"> / TC 333 / WG 5 v revizi normy EN 15914.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 xml:space="preserve">Bezpečnost a emise motorových vozidel - přispět k vývoji v Evropské hospodářské komise OSN WP 29 na harmonizovaných testovacích </w:t>
      </w:r>
      <w:proofErr w:type="gramStart"/>
      <w:r w:rsidRPr="005968DB">
        <w:rPr>
          <w:sz w:val="20"/>
          <w:szCs w:val="20"/>
        </w:rPr>
        <w:t>procedur</w:t>
      </w:r>
      <w:proofErr w:type="gramEnd"/>
      <w:r w:rsidRPr="005968DB">
        <w:rPr>
          <w:sz w:val="20"/>
          <w:szCs w:val="20"/>
        </w:rPr>
        <w:t xml:space="preserve"> lehkých vozidel (WLTP), zejména pokud jde o MAC (mobilní klimatizací), GSI (</w:t>
      </w:r>
      <w:proofErr w:type="spellStart"/>
      <w:r w:rsidRPr="005968DB">
        <w:rPr>
          <w:sz w:val="20"/>
          <w:szCs w:val="20"/>
        </w:rPr>
        <w:t>Gear</w:t>
      </w:r>
      <w:proofErr w:type="spellEnd"/>
      <w:r w:rsidRPr="005968DB">
        <w:rPr>
          <w:sz w:val="20"/>
          <w:szCs w:val="20"/>
        </w:rPr>
        <w:t xml:space="preserve"> Shift indikátory) a </w:t>
      </w:r>
      <w:proofErr w:type="spellStart"/>
      <w:r w:rsidRPr="005968DB">
        <w:rPr>
          <w:sz w:val="20"/>
          <w:szCs w:val="20"/>
        </w:rPr>
        <w:t>Océ</w:t>
      </w:r>
      <w:proofErr w:type="spellEnd"/>
      <w:r w:rsidRPr="005968DB">
        <w:rPr>
          <w:sz w:val="20"/>
          <w:szCs w:val="20"/>
        </w:rPr>
        <w:t xml:space="preserve"> (</w:t>
      </w:r>
      <w:proofErr w:type="spellStart"/>
      <w:r w:rsidRPr="005968DB">
        <w:rPr>
          <w:sz w:val="20"/>
          <w:szCs w:val="20"/>
        </w:rPr>
        <w:t>off</w:t>
      </w:r>
      <w:proofErr w:type="spellEnd"/>
      <w:r w:rsidRPr="005968DB">
        <w:rPr>
          <w:sz w:val="20"/>
          <w:szCs w:val="20"/>
        </w:rPr>
        <w:t>- Emise cyklus) a skupina WP29 a CEN / TC 301 na monitorování tlaku v pneumatikách (TPMS Systems) a tlaku vzduchu v pneumatikách snímače (TPG).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>Opěrky hlavy v autech - sledovat budoucí práci v EHK OSN o technickém předpisu.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Č</w:t>
      </w:r>
      <w:r w:rsidRPr="005968DB">
        <w:rPr>
          <w:sz w:val="20"/>
          <w:szCs w:val="20"/>
        </w:rPr>
        <w:t xml:space="preserve">elní ochrana proti nárazu - Monitor práce EHK, revize R94 a R95 </w:t>
      </w:r>
      <w:r>
        <w:rPr>
          <w:sz w:val="20"/>
          <w:szCs w:val="20"/>
        </w:rPr>
        <w:t>-</w:t>
      </w:r>
      <w:r w:rsidRPr="005968DB">
        <w:rPr>
          <w:sz w:val="20"/>
          <w:szCs w:val="20"/>
        </w:rPr>
        <w:t xml:space="preserve"> co nejširší ochran</w:t>
      </w:r>
      <w:r>
        <w:rPr>
          <w:sz w:val="20"/>
          <w:szCs w:val="20"/>
        </w:rPr>
        <w:t>a</w:t>
      </w:r>
      <w:r w:rsidRPr="005968DB">
        <w:rPr>
          <w:sz w:val="20"/>
          <w:szCs w:val="20"/>
        </w:rPr>
        <w:t xml:space="preserve"> spotřebitele různého věku a postav.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 xml:space="preserve">Inteligentní dopravní systémy (ITS) - podílet se na </w:t>
      </w:r>
      <w:proofErr w:type="gramStart"/>
      <w:r w:rsidRPr="005968DB">
        <w:rPr>
          <w:sz w:val="20"/>
          <w:szCs w:val="20"/>
        </w:rPr>
        <w:t>CEN</w:t>
      </w:r>
      <w:proofErr w:type="gramEnd"/>
      <w:r w:rsidRPr="005968DB">
        <w:rPr>
          <w:sz w:val="20"/>
          <w:szCs w:val="20"/>
        </w:rPr>
        <w:t xml:space="preserve"> / TC 278 a CEN / TC 226 / WG9.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5968DB">
        <w:rPr>
          <w:sz w:val="20"/>
          <w:szCs w:val="20"/>
        </w:rPr>
        <w:t xml:space="preserve">Elektromobily - podílet se na </w:t>
      </w:r>
      <w:proofErr w:type="gramStart"/>
      <w:r w:rsidRPr="005968DB">
        <w:rPr>
          <w:sz w:val="20"/>
          <w:szCs w:val="20"/>
        </w:rPr>
        <w:t>CEN</w:t>
      </w:r>
      <w:proofErr w:type="gramEnd"/>
      <w:r w:rsidRPr="005968DB">
        <w:rPr>
          <w:sz w:val="20"/>
          <w:szCs w:val="20"/>
        </w:rPr>
        <w:t xml:space="preserve"> / TC 354 / WG 4.</w:t>
      </w:r>
    </w:p>
    <w:p w:rsidR="006E2F76" w:rsidRPr="005968DB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5968DB">
        <w:rPr>
          <w:sz w:val="20"/>
          <w:szCs w:val="20"/>
        </w:rPr>
        <w:t>nfrastruktura pro dobíjení baterií elektromobilů - sledovat příslušné CEN-CENELEC technick</w:t>
      </w:r>
      <w:r>
        <w:rPr>
          <w:sz w:val="20"/>
          <w:szCs w:val="20"/>
        </w:rPr>
        <w:t>á</w:t>
      </w:r>
      <w:r w:rsidRPr="005968DB">
        <w:rPr>
          <w:sz w:val="20"/>
          <w:szCs w:val="20"/>
        </w:rPr>
        <w:t xml:space="preserve"> fór</w:t>
      </w:r>
      <w:r>
        <w:rPr>
          <w:sz w:val="20"/>
          <w:szCs w:val="20"/>
        </w:rPr>
        <w:t>a</w:t>
      </w:r>
      <w:r w:rsidRPr="005968DB">
        <w:rPr>
          <w:sz w:val="20"/>
          <w:szCs w:val="20"/>
        </w:rPr>
        <w:t>.</w:t>
      </w:r>
    </w:p>
    <w:p w:rsidR="006E2F76" w:rsidRPr="006E2F76" w:rsidRDefault="006E2F76" w:rsidP="00812B61">
      <w:pPr>
        <w:spacing w:before="240" w:after="120"/>
        <w:jc w:val="both"/>
        <w:rPr>
          <w:b/>
          <w:sz w:val="22"/>
          <w:szCs w:val="22"/>
        </w:rPr>
      </w:pPr>
      <w:r w:rsidRPr="006E2F76">
        <w:rPr>
          <w:b/>
          <w:sz w:val="22"/>
          <w:szCs w:val="22"/>
        </w:rPr>
        <w:t>Konkrétní příklady:</w:t>
      </w:r>
      <w:bookmarkStart w:id="0" w:name="_GoBack"/>
      <w:bookmarkEnd w:id="0"/>
    </w:p>
    <w:p w:rsidR="006E2F76" w:rsidRPr="006A7214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A7214">
        <w:rPr>
          <w:b/>
          <w:sz w:val="20"/>
          <w:szCs w:val="20"/>
        </w:rPr>
        <w:t xml:space="preserve">Služby v souvislosti s půjčováním aut se stávají přehlednější - </w:t>
      </w:r>
      <w:r w:rsidRPr="006A7214">
        <w:rPr>
          <w:sz w:val="20"/>
          <w:szCs w:val="20"/>
        </w:rPr>
        <w:t xml:space="preserve">Evropská komise dosáhla dohody s pěti významnými společnostmi - autopůjčovnami ohledně poskytování služeb spotřebitelům. Autopůjčovny budou nově ručit za zvýšení přehlednosti a srozumitelnosti v oblasti pojištění, větší férovost v souvislosti s jednáním ohledně škod a větší transparentnost cen. Technická studie ANEC týkající se spotřebitelských zkušeností při cestách do zahraničí </w:t>
      </w:r>
      <w:r w:rsidRPr="006A7214">
        <w:rPr>
          <w:sz w:val="20"/>
          <w:szCs w:val="20"/>
        </w:rPr>
        <w:lastRenderedPageBreak/>
        <w:t xml:space="preserve">identifikovala pronájem automobilů jako problematické téma, a doporučuje tvůrcům norem zaměřit se právě na tuto oblast – více </w:t>
      </w:r>
      <w:hyperlink r:id="rId9" w:history="1">
        <w:r>
          <w:rPr>
            <w:rStyle w:val="Hypertextovodkaz"/>
            <w:sz w:val="20"/>
            <w:szCs w:val="20"/>
          </w:rPr>
          <w:t>Zde</w:t>
        </w:r>
      </w:hyperlink>
      <w:r w:rsidRPr="006A7214">
        <w:rPr>
          <w:sz w:val="20"/>
          <w:szCs w:val="20"/>
        </w:rPr>
        <w:t xml:space="preserve">. </w:t>
      </w:r>
    </w:p>
    <w:p w:rsidR="006E2F76" w:rsidRPr="006A7214" w:rsidRDefault="006E2F76" w:rsidP="006E2F76">
      <w:pPr>
        <w:pStyle w:val="Odstavecseseznamem"/>
        <w:spacing w:after="120"/>
        <w:ind w:left="0"/>
        <w:jc w:val="both"/>
        <w:rPr>
          <w:sz w:val="20"/>
          <w:szCs w:val="20"/>
        </w:rPr>
      </w:pPr>
      <w:r w:rsidRPr="006A7214">
        <w:rPr>
          <w:b/>
          <w:sz w:val="20"/>
          <w:szCs w:val="20"/>
        </w:rPr>
        <w:t xml:space="preserve">Chystá se mandát na normu na inteligentní dopravní systémy - </w:t>
      </w:r>
      <w:r w:rsidRPr="006A7214">
        <w:rPr>
          <w:sz w:val="20"/>
          <w:szCs w:val="20"/>
        </w:rPr>
        <w:t>V dubnu spotřebitelé komentovali aktualizovaný návrh žádosti na normu na podporu zavádění inteligentních dopravních systémů v městských oblastech. Cílem žádosti pro evropské normalizační organizace je vytvoření uceleného souboru norem, příruček a pokynů. Spotřebitelé prostřednictvím ANEC předložili své připomínky již v závěru loňského roku, když zdůraznili potřebu proaktivního spojení při práci na této žádosti na inteligentní dopravní systémy a mandátu M/530 o ochraně osobních údajů. Spotřebitelé také zdůraznili důležitost norem při řešení bezpečnostních požadavků, přístupnosti veřejné dopravy a poskytování informací.</w:t>
      </w:r>
    </w:p>
    <w:p w:rsidR="006E2F76" w:rsidRDefault="006E2F76" w:rsidP="00812B61">
      <w:pPr>
        <w:spacing w:before="240" w:after="120"/>
        <w:jc w:val="both"/>
        <w:rPr>
          <w:sz w:val="22"/>
          <w:szCs w:val="22"/>
        </w:rPr>
      </w:pPr>
    </w:p>
    <w:p w:rsidR="00C62AAE" w:rsidRPr="00812B61" w:rsidRDefault="00631BCE" w:rsidP="00812B61">
      <w:pPr>
        <w:spacing w:before="240" w:after="120"/>
        <w:jc w:val="both"/>
        <w:rPr>
          <w:sz w:val="22"/>
          <w:szCs w:val="22"/>
        </w:rPr>
      </w:pPr>
      <w:r w:rsidRPr="00812B61">
        <w:rPr>
          <w:sz w:val="22"/>
          <w:szCs w:val="22"/>
        </w:rPr>
        <w:t>Prosinec 2015, Dupal</w:t>
      </w:r>
      <w:r w:rsidR="00BB07A6">
        <w:rPr>
          <w:sz w:val="22"/>
          <w:szCs w:val="22"/>
        </w:rPr>
        <w:tab/>
      </w:r>
    </w:p>
    <w:sectPr w:rsidR="00C62AAE" w:rsidRPr="00812B61" w:rsidSect="00CA4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1C" w:rsidRDefault="009C2D1C">
      <w:r>
        <w:separator/>
      </w:r>
    </w:p>
  </w:endnote>
  <w:endnote w:type="continuationSeparator" w:id="0">
    <w:p w:rsidR="009C2D1C" w:rsidRDefault="009C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1DE" w:rsidRDefault="00D211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2F76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D211DE" w:rsidTr="004C7619">
      <w:trPr>
        <w:trHeight w:val="416"/>
      </w:trPr>
      <w:tc>
        <w:tcPr>
          <w:tcW w:w="2050" w:type="dxa"/>
        </w:tcPr>
        <w:p w:rsidR="00D211DE" w:rsidRDefault="00D211DE" w:rsidP="004C7619">
          <w:pPr>
            <w:spacing w:line="276" w:lineRule="auto"/>
            <w:rPr>
              <w:sz w:val="6"/>
            </w:rPr>
          </w:pPr>
        </w:p>
        <w:p w:rsidR="00D211DE" w:rsidRDefault="00BB07A6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:rsidR="00D211DE" w:rsidRDefault="00D211DE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:rsidR="00D211DE" w:rsidRPr="00BB07A6" w:rsidRDefault="009C2D1C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D211DE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4C7619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:rsidR="00D211DE" w:rsidRDefault="00D211D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1C" w:rsidRDefault="009C2D1C">
      <w:r>
        <w:separator/>
      </w:r>
    </w:p>
  </w:footnote>
  <w:footnote w:type="continuationSeparator" w:id="0">
    <w:p w:rsidR="009C2D1C" w:rsidRDefault="009C2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D211DE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:rsidR="00D211DE" w:rsidRDefault="00F86228" w:rsidP="00E6069E">
          <w:r>
            <w:rPr>
              <w:noProof/>
            </w:rPr>
            <w:drawing>
              <wp:inline distT="0" distB="0" distL="0" distR="0" wp14:anchorId="42D6045A" wp14:editId="2771D327">
                <wp:extent cx="1666875" cy="704850"/>
                <wp:effectExtent l="0" t="0" r="9525" b="0"/>
                <wp:docPr id="1" name="obrázek 1" descr="logoKaStan_Cz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Stan_Cz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211DE" w:rsidRPr="00E6069E" w:rsidRDefault="00CF463C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54BE4C91" wp14:editId="238C48DE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1DE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:rsidR="00D211DE" w:rsidRDefault="00D211DE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:rsidR="00D211DE" w:rsidRDefault="00D211DE" w:rsidP="00CE30FE">
          <w:pPr>
            <w:ind w:right="-70"/>
            <w:jc w:val="right"/>
            <w:rPr>
              <w:sz w:val="8"/>
            </w:rPr>
          </w:pPr>
        </w:p>
      </w:tc>
    </w:tr>
  </w:tbl>
  <w:p w:rsidR="00D211DE" w:rsidRPr="00D211DE" w:rsidRDefault="00D211DE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97E69"/>
    <w:multiLevelType w:val="multilevel"/>
    <w:tmpl w:val="7E02996E"/>
    <w:lvl w:ilvl="0">
      <w:start w:val="41"/>
      <w:numFmt w:val="decimalZero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5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67CF6"/>
    <w:multiLevelType w:val="multilevel"/>
    <w:tmpl w:val="445E60F0"/>
    <w:lvl w:ilvl="0">
      <w:start w:val="31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6B79EB"/>
    <w:multiLevelType w:val="hybridMultilevel"/>
    <w:tmpl w:val="735AD90A"/>
    <w:lvl w:ilvl="0" w:tplc="01489DE2">
      <w:start w:val="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5D2B04D3"/>
    <w:multiLevelType w:val="multilevel"/>
    <w:tmpl w:val="445E60F0"/>
    <w:lvl w:ilvl="0">
      <w:start w:val="31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3"/>
  </w:num>
  <w:num w:numId="5">
    <w:abstractNumId w:val="21"/>
  </w:num>
  <w:num w:numId="6">
    <w:abstractNumId w:val="17"/>
  </w:num>
  <w:num w:numId="7">
    <w:abstractNumId w:val="8"/>
  </w:num>
  <w:num w:numId="8">
    <w:abstractNumId w:val="31"/>
  </w:num>
  <w:num w:numId="9">
    <w:abstractNumId w:val="29"/>
  </w:num>
  <w:num w:numId="10">
    <w:abstractNumId w:val="5"/>
  </w:num>
  <w:num w:numId="11">
    <w:abstractNumId w:val="20"/>
  </w:num>
  <w:num w:numId="12">
    <w:abstractNumId w:val="16"/>
  </w:num>
  <w:num w:numId="13">
    <w:abstractNumId w:val="26"/>
  </w:num>
  <w:num w:numId="14">
    <w:abstractNumId w:val="6"/>
  </w:num>
  <w:num w:numId="15">
    <w:abstractNumId w:val="14"/>
  </w:num>
  <w:num w:numId="16">
    <w:abstractNumId w:val="11"/>
  </w:num>
  <w:num w:numId="17">
    <w:abstractNumId w:val="1"/>
  </w:num>
  <w:num w:numId="18">
    <w:abstractNumId w:val="28"/>
  </w:num>
  <w:num w:numId="19">
    <w:abstractNumId w:val="23"/>
  </w:num>
  <w:num w:numId="20">
    <w:abstractNumId w:val="9"/>
  </w:num>
  <w:num w:numId="21">
    <w:abstractNumId w:val="12"/>
  </w:num>
  <w:num w:numId="22">
    <w:abstractNumId w:val="25"/>
  </w:num>
  <w:num w:numId="23">
    <w:abstractNumId w:val="19"/>
  </w:num>
  <w:num w:numId="24">
    <w:abstractNumId w:val="30"/>
  </w:num>
  <w:num w:numId="25">
    <w:abstractNumId w:val="2"/>
  </w:num>
  <w:num w:numId="26">
    <w:abstractNumId w:val="7"/>
  </w:num>
  <w:num w:numId="27">
    <w:abstractNumId w:val="27"/>
  </w:num>
  <w:num w:numId="28">
    <w:abstractNumId w:val="15"/>
  </w:num>
  <w:num w:numId="29">
    <w:abstractNumId w:val="22"/>
  </w:num>
  <w:num w:numId="30">
    <w:abstractNumId w:val="10"/>
  </w:num>
  <w:num w:numId="31">
    <w:abstractNumId w:val="2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212DE"/>
    <w:rsid w:val="000A1CBC"/>
    <w:rsid w:val="000E330A"/>
    <w:rsid w:val="00116459"/>
    <w:rsid w:val="001166A4"/>
    <w:rsid w:val="00141082"/>
    <w:rsid w:val="001B0E0F"/>
    <w:rsid w:val="001D1BC9"/>
    <w:rsid w:val="00250C93"/>
    <w:rsid w:val="00277C59"/>
    <w:rsid w:val="00280435"/>
    <w:rsid w:val="002C3C7F"/>
    <w:rsid w:val="002D094E"/>
    <w:rsid w:val="00326DCA"/>
    <w:rsid w:val="0033327E"/>
    <w:rsid w:val="00333B8E"/>
    <w:rsid w:val="00343356"/>
    <w:rsid w:val="00363535"/>
    <w:rsid w:val="003A7D01"/>
    <w:rsid w:val="004179B6"/>
    <w:rsid w:val="004564BD"/>
    <w:rsid w:val="00491EFD"/>
    <w:rsid w:val="004C7619"/>
    <w:rsid w:val="00503D33"/>
    <w:rsid w:val="005332C0"/>
    <w:rsid w:val="00544A87"/>
    <w:rsid w:val="00596128"/>
    <w:rsid w:val="005979AF"/>
    <w:rsid w:val="005B2F69"/>
    <w:rsid w:val="005F40F3"/>
    <w:rsid w:val="0060473E"/>
    <w:rsid w:val="00631BCE"/>
    <w:rsid w:val="00662932"/>
    <w:rsid w:val="00664BF3"/>
    <w:rsid w:val="00687028"/>
    <w:rsid w:val="006E2F76"/>
    <w:rsid w:val="00790BA3"/>
    <w:rsid w:val="007C0C67"/>
    <w:rsid w:val="007E29FE"/>
    <w:rsid w:val="00812B61"/>
    <w:rsid w:val="008135F0"/>
    <w:rsid w:val="00815610"/>
    <w:rsid w:val="00876265"/>
    <w:rsid w:val="0089064E"/>
    <w:rsid w:val="00891182"/>
    <w:rsid w:val="008A3042"/>
    <w:rsid w:val="009360CB"/>
    <w:rsid w:val="00997132"/>
    <w:rsid w:val="009C2D1C"/>
    <w:rsid w:val="009C2F19"/>
    <w:rsid w:val="009D73EA"/>
    <w:rsid w:val="009F417D"/>
    <w:rsid w:val="00A102A2"/>
    <w:rsid w:val="00A50D21"/>
    <w:rsid w:val="00A56614"/>
    <w:rsid w:val="00A8392D"/>
    <w:rsid w:val="00AE6C43"/>
    <w:rsid w:val="00AF2662"/>
    <w:rsid w:val="00AF6E7B"/>
    <w:rsid w:val="00B2184E"/>
    <w:rsid w:val="00B311CE"/>
    <w:rsid w:val="00BB07A6"/>
    <w:rsid w:val="00BE61FF"/>
    <w:rsid w:val="00C02D2C"/>
    <w:rsid w:val="00C1067B"/>
    <w:rsid w:val="00C22D18"/>
    <w:rsid w:val="00C30E4B"/>
    <w:rsid w:val="00C62AAE"/>
    <w:rsid w:val="00C74594"/>
    <w:rsid w:val="00C779CB"/>
    <w:rsid w:val="00CA4A78"/>
    <w:rsid w:val="00CE30FE"/>
    <w:rsid w:val="00CF463C"/>
    <w:rsid w:val="00D2042B"/>
    <w:rsid w:val="00D211DE"/>
    <w:rsid w:val="00D27474"/>
    <w:rsid w:val="00D32D4D"/>
    <w:rsid w:val="00D75088"/>
    <w:rsid w:val="00D963D1"/>
    <w:rsid w:val="00DE34F8"/>
    <w:rsid w:val="00E05348"/>
    <w:rsid w:val="00E41C48"/>
    <w:rsid w:val="00E47C33"/>
    <w:rsid w:val="00E6069E"/>
    <w:rsid w:val="00E84899"/>
    <w:rsid w:val="00EC48DA"/>
    <w:rsid w:val="00F060CE"/>
    <w:rsid w:val="00F4375C"/>
    <w:rsid w:val="00F85065"/>
    <w:rsid w:val="00F86228"/>
    <w:rsid w:val="00FB58D2"/>
    <w:rsid w:val="00FC0FBE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ec.eu/attachments/ANEC-SERV-2014-G-005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)</vt:lpstr>
    </vt:vector>
  </TitlesOfParts>
  <Company>SCS</Company>
  <LinksUpToDate>false</LinksUpToDate>
  <CharactersWithSpaces>4081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Dupal</cp:lastModifiedBy>
  <cp:revision>3</cp:revision>
  <cp:lastPrinted>2003-01-13T05:58:00Z</cp:lastPrinted>
  <dcterms:created xsi:type="dcterms:W3CDTF">2016-02-10T13:01:00Z</dcterms:created>
  <dcterms:modified xsi:type="dcterms:W3CDTF">2016-02-10T13:02:00Z</dcterms:modified>
</cp:coreProperties>
</file>